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896E9" w14:textId="77777777" w:rsidR="00AF35BE" w:rsidRDefault="00AF35BE" w:rsidP="00AF35BE">
      <w:r>
        <w:t xml:space="preserve">Dear Paula, </w:t>
      </w:r>
      <w:proofErr w:type="gramStart"/>
      <w:r>
        <w:t>Paul</w:t>
      </w:r>
      <w:proofErr w:type="gramEnd"/>
      <w:r>
        <w:t xml:space="preserve"> and Emily, </w:t>
      </w:r>
    </w:p>
    <w:p w14:paraId="0E12287D" w14:textId="77777777" w:rsidR="00AF35BE" w:rsidRDefault="00AF35BE" w:rsidP="00AF35BE"/>
    <w:p w14:paraId="69A7ED98" w14:textId="77777777" w:rsidR="00AF35BE" w:rsidRDefault="00AF35BE" w:rsidP="00AF35BE">
      <w:r>
        <w:t xml:space="preserve">Thank you for the opportunity to comment on the draft staff proposal: Zero-Emissions Freight Infrastructure Planning.  LA Metro is pleased to witness a </w:t>
      </w:r>
      <w:proofErr w:type="gramStart"/>
      <w:r>
        <w:t>much needed</w:t>
      </w:r>
      <w:proofErr w:type="gramEnd"/>
      <w:r>
        <w:t xml:space="preserve"> interagency coordination across CARB, CEC, CPUC, CAISO, and CTC to streamline various elements of TE infrastructure planning.  Attached please find LA Metro’s responses to the 26 questions that were included in the draft proposal.  We did not have responses or comments to all 26 questions, but provided our thoughts and observations where applicable, drawing from our experience with battery electric bus fleet transition and learnings from our zero-emission truck program.  </w:t>
      </w:r>
    </w:p>
    <w:p w14:paraId="6A52C42C" w14:textId="77777777" w:rsidR="00AF35BE" w:rsidRDefault="00AF35BE" w:rsidP="00AF35BE"/>
    <w:p w14:paraId="043CB1AB" w14:textId="77777777" w:rsidR="00AF35BE" w:rsidRDefault="00AF35BE" w:rsidP="00AF35BE">
      <w:r>
        <w:t>Key themes you may notice in our responses are:</w:t>
      </w:r>
    </w:p>
    <w:p w14:paraId="27788CE4" w14:textId="77777777" w:rsidR="00AF35BE" w:rsidRDefault="00AF35BE" w:rsidP="00AF35BE">
      <w:pPr>
        <w:pStyle w:val="ListParagraph"/>
        <w:numPr>
          <w:ilvl w:val="0"/>
          <w:numId w:val="2"/>
        </w:numPr>
        <w:spacing w:after="0" w:line="240" w:lineRule="auto"/>
        <w:contextualSpacing w:val="0"/>
        <w:rPr>
          <w:rFonts w:eastAsia="Times New Roman"/>
        </w:rPr>
      </w:pPr>
      <w:r>
        <w:rPr>
          <w:rFonts w:eastAsia="Times New Roman"/>
        </w:rPr>
        <w:t>There is a lot to be leveraged from existing local agencies and utility providers (both IOUs and POUs) coordination to inform the state efforts on demand forecasting and planning.  The knowledge and expertise at the local level are based on our hands-on experiences in figuring out ways to fulfilling policy goals and customer needs while also balancing various constraints.  These constraints range from land availability, permitting lead time, IOU and POU coordination challenges, environmental impacts, data availability, etc.  These are perhaps the same constraints that CPUC and other state agencies are dealing with, and this is more reason to regularly engage local partners in the CPUC’s FIP endeavor.</w:t>
      </w:r>
    </w:p>
    <w:p w14:paraId="56C1E144" w14:textId="77777777" w:rsidR="00AF35BE" w:rsidRDefault="00AF35BE" w:rsidP="00AF35BE">
      <w:pPr>
        <w:pStyle w:val="ListParagraph"/>
        <w:numPr>
          <w:ilvl w:val="0"/>
          <w:numId w:val="2"/>
        </w:numPr>
        <w:spacing w:after="0" w:line="240" w:lineRule="auto"/>
        <w:contextualSpacing w:val="0"/>
        <w:rPr>
          <w:rFonts w:eastAsia="Times New Roman"/>
        </w:rPr>
      </w:pPr>
      <w:r>
        <w:rPr>
          <w:rFonts w:eastAsia="Times New Roman"/>
        </w:rPr>
        <w:t xml:space="preserve">Similarly, regularly engaging freight industry stakeholders and incorporating their TE infrastructure needs accurately is critical to the success of the FIP and resulting statewide TE infrastructure.  Metro’s experience with the Zero-Emission Truck program taught us the difficulty regularly engaging the freight industry, particularly the trucking industry, beyond some of the representing organizations like California Trucking Association and Harbor Trucking Association.  This is due to the business models in which many of the trucking industry operate.  However, because they will be the primary users of the infrastructure that the FIP will realize, their operational needs and requirements such as charging speed, frequency, time of the day, and locations should be accurately reflected.  </w:t>
      </w:r>
    </w:p>
    <w:p w14:paraId="66EBD0C2" w14:textId="77777777" w:rsidR="00AF35BE" w:rsidRDefault="00AF35BE" w:rsidP="00AF35BE">
      <w:pPr>
        <w:pStyle w:val="ListParagraph"/>
        <w:numPr>
          <w:ilvl w:val="0"/>
          <w:numId w:val="2"/>
        </w:numPr>
        <w:spacing w:after="0" w:line="240" w:lineRule="auto"/>
        <w:contextualSpacing w:val="0"/>
        <w:rPr>
          <w:rFonts w:eastAsia="Times New Roman"/>
        </w:rPr>
      </w:pPr>
      <w:r>
        <w:rPr>
          <w:rFonts w:eastAsia="Times New Roman"/>
        </w:rPr>
        <w:t xml:space="preserve">In contemplating on prioritizing corridors for investment based on needs, Metro urges CPUC to consider the magnitude of impacts from state regulations such as the ACF Rule. While investments are needed across the state, the impacts of the ACF Rule would manifest differently at trade gateway regions with a high population density. For example, a large volume of drayage HD trucks travel on I-710, I-10 and SR-60 in LA County.  These trucks are subject to early transition (2035) to ZE than other HD trucks (2045) that operate in California.  We also urge CPUC to consider the implications to the state’s economy of not sufficiently supporting the drayage truck transition through investments as supply chain disruptions and interruptions cause tremendous financial burden to the state’s economy.  </w:t>
      </w:r>
    </w:p>
    <w:p w14:paraId="7FB48142" w14:textId="77777777" w:rsidR="00AF35BE" w:rsidRDefault="00AF35BE" w:rsidP="00AF35BE"/>
    <w:p w14:paraId="4ACFB890" w14:textId="77777777" w:rsidR="00AF35BE" w:rsidRDefault="00AF35BE" w:rsidP="00AF35BE">
      <w:r>
        <w:t xml:space="preserve">If you have any questions, please contact me.  LA Metro looks forward to working with CPUC on the development of the FIP. </w:t>
      </w:r>
    </w:p>
    <w:p w14:paraId="1DE84242" w14:textId="77777777" w:rsidR="00AF35BE" w:rsidRDefault="00AF35BE" w:rsidP="00AF35BE"/>
    <w:p w14:paraId="72429E90" w14:textId="77777777" w:rsidR="00AF35BE" w:rsidRDefault="00AF35BE" w:rsidP="00AF35BE">
      <w:r>
        <w:t xml:space="preserve">Best regards, </w:t>
      </w:r>
    </w:p>
    <w:p w14:paraId="00C9EA2F" w14:textId="77777777" w:rsidR="00AF35BE" w:rsidRDefault="00AF35BE" w:rsidP="00AF35BE">
      <w:r>
        <w:t xml:space="preserve">Akiko </w:t>
      </w:r>
    </w:p>
    <w:p w14:paraId="5D29C7E4" w14:textId="77777777" w:rsidR="00AF35BE" w:rsidRDefault="00AF35BE" w:rsidP="00AF35BE"/>
    <w:p w14:paraId="26E66639" w14:textId="77777777" w:rsidR="00AF35BE" w:rsidRDefault="00AF35BE" w:rsidP="00AF35BE">
      <w:pPr>
        <w:rPr>
          <w:b/>
          <w:bCs/>
          <w:color w:val="333399"/>
        </w:rPr>
      </w:pPr>
      <w:r>
        <w:rPr>
          <w:b/>
          <w:bCs/>
          <w:color w:val="333399"/>
        </w:rPr>
        <w:t xml:space="preserve">Akiko </w:t>
      </w:r>
      <w:proofErr w:type="spellStart"/>
      <w:r>
        <w:rPr>
          <w:b/>
          <w:bCs/>
          <w:color w:val="333399"/>
        </w:rPr>
        <w:t>Yamagami</w:t>
      </w:r>
      <w:proofErr w:type="spellEnd"/>
    </w:p>
    <w:p w14:paraId="6FEC6954" w14:textId="77777777" w:rsidR="00AF35BE" w:rsidRDefault="00AF35BE" w:rsidP="00AF35BE">
      <w:r>
        <w:t>LA Metro</w:t>
      </w:r>
    </w:p>
    <w:p w14:paraId="5B91A670" w14:textId="77777777" w:rsidR="00AF35BE" w:rsidRDefault="00AF35BE" w:rsidP="00AF35BE">
      <w:r>
        <w:t>Sr. Manager, Transportation Planning</w:t>
      </w:r>
    </w:p>
    <w:p w14:paraId="7DAAF851" w14:textId="77777777" w:rsidR="00AF35BE" w:rsidRDefault="00AF35BE" w:rsidP="00AF35BE">
      <w:r>
        <w:t>Goods Movement</w:t>
      </w:r>
    </w:p>
    <w:p w14:paraId="23052F44" w14:textId="77777777" w:rsidR="00AF35BE" w:rsidRDefault="00AF35BE" w:rsidP="00AF35BE">
      <w:r>
        <w:t>Countywide Planning &amp; Development</w:t>
      </w:r>
    </w:p>
    <w:p w14:paraId="18F316A7" w14:textId="77777777" w:rsidR="00AF35BE" w:rsidRDefault="00AF35BE" w:rsidP="00AF35BE">
      <w:r>
        <w:rPr>
          <w:color w:val="FF0000"/>
          <w:sz w:val="21"/>
          <w:szCs w:val="21"/>
          <w:shd w:val="clear" w:color="auto" w:fill="FAFAFA"/>
        </w:rPr>
        <w:t>+1 213-547-4305</w:t>
      </w:r>
      <w:r>
        <w:t xml:space="preserve"> Tel </w:t>
      </w:r>
    </w:p>
    <w:p w14:paraId="40B8BB11" w14:textId="77777777" w:rsidR="00AF35BE" w:rsidRDefault="00AF35BE" w:rsidP="00AF35BE">
      <w:r>
        <w:t>metro.net | facebook.com/</w:t>
      </w:r>
      <w:proofErr w:type="spellStart"/>
      <w:r>
        <w:t>losangelesmetro</w:t>
      </w:r>
      <w:proofErr w:type="spellEnd"/>
      <w:r>
        <w:t xml:space="preserve"> | @metrolosangeles</w:t>
      </w:r>
    </w:p>
    <w:p w14:paraId="09ED5013" w14:textId="77777777" w:rsidR="00AF35BE" w:rsidRDefault="00AF35BE" w:rsidP="00AF35BE">
      <w:pPr>
        <w:rPr>
          <w:color w:val="333399"/>
        </w:rPr>
      </w:pPr>
      <w:r>
        <w:rPr>
          <w:b/>
          <w:bCs/>
          <w:color w:val="333399"/>
          <w:sz w:val="23"/>
          <w:szCs w:val="23"/>
        </w:rPr>
        <w:t>Metro’s mission is to provide world-class transportation for all.</w:t>
      </w:r>
    </w:p>
    <w:p w14:paraId="00AB53C0" w14:textId="77777777" w:rsidR="00AF35BE" w:rsidRDefault="00AF35BE" w:rsidP="00D2319D">
      <w:pPr>
        <w:ind w:left="360" w:hanging="360"/>
      </w:pPr>
    </w:p>
    <w:p w14:paraId="29648BF8" w14:textId="77777777" w:rsidR="00AF35BE" w:rsidRDefault="00AF35BE" w:rsidP="00AF35BE">
      <w:pPr>
        <w:pStyle w:val="ListParagraph"/>
        <w:ind w:left="360"/>
        <w:rPr>
          <w:rFonts w:ascii="Calibri" w:eastAsia="Calibri" w:hAnsi="Calibri" w:cs="Calibri"/>
        </w:rPr>
      </w:pPr>
    </w:p>
    <w:p w14:paraId="030A20F6" w14:textId="77777777" w:rsidR="00AF35BE" w:rsidRDefault="00AF35BE" w:rsidP="00AF35BE">
      <w:pPr>
        <w:pStyle w:val="ListParagraph"/>
        <w:ind w:left="360"/>
        <w:rPr>
          <w:rFonts w:ascii="Calibri" w:eastAsia="Calibri" w:hAnsi="Calibri" w:cs="Calibri"/>
        </w:rPr>
      </w:pPr>
    </w:p>
    <w:p w14:paraId="14807BE1" w14:textId="77777777" w:rsidR="00AF35BE" w:rsidRDefault="00AF35BE" w:rsidP="00AF35BE">
      <w:pPr>
        <w:pStyle w:val="ListParagraph"/>
        <w:ind w:left="360"/>
        <w:rPr>
          <w:rFonts w:ascii="Calibri" w:eastAsia="Calibri" w:hAnsi="Calibri" w:cs="Calibri"/>
        </w:rPr>
      </w:pPr>
    </w:p>
    <w:p w14:paraId="17C2BECF" w14:textId="77777777" w:rsidR="00AF35BE" w:rsidRDefault="00AF35BE" w:rsidP="00AF35BE">
      <w:pPr>
        <w:pStyle w:val="ListParagraph"/>
        <w:ind w:left="360"/>
        <w:rPr>
          <w:rFonts w:ascii="Calibri" w:eastAsia="Calibri" w:hAnsi="Calibri" w:cs="Calibri"/>
        </w:rPr>
      </w:pPr>
    </w:p>
    <w:p w14:paraId="2B1D9B23" w14:textId="77777777" w:rsidR="00AF35BE" w:rsidRDefault="00AF35BE" w:rsidP="00AF35BE">
      <w:pPr>
        <w:pStyle w:val="ListParagraph"/>
        <w:ind w:left="360"/>
        <w:rPr>
          <w:rFonts w:ascii="Calibri" w:eastAsia="Calibri" w:hAnsi="Calibri" w:cs="Calibri"/>
        </w:rPr>
      </w:pPr>
    </w:p>
    <w:p w14:paraId="5543294D" w14:textId="77777777" w:rsidR="00AF35BE" w:rsidRDefault="00AF35BE" w:rsidP="00AF35BE">
      <w:pPr>
        <w:pStyle w:val="ListParagraph"/>
        <w:ind w:left="360"/>
        <w:rPr>
          <w:rFonts w:ascii="Calibri" w:eastAsia="Calibri" w:hAnsi="Calibri" w:cs="Calibri"/>
        </w:rPr>
      </w:pPr>
    </w:p>
    <w:p w14:paraId="2FAEA5C1" w14:textId="77777777" w:rsidR="00AF35BE" w:rsidRDefault="00AF35BE" w:rsidP="00AF35BE">
      <w:pPr>
        <w:pStyle w:val="ListParagraph"/>
        <w:ind w:left="360"/>
        <w:rPr>
          <w:rFonts w:ascii="Calibri" w:eastAsia="Calibri" w:hAnsi="Calibri" w:cs="Calibri"/>
        </w:rPr>
      </w:pPr>
    </w:p>
    <w:p w14:paraId="2433E6DB" w14:textId="77777777" w:rsidR="00AF35BE" w:rsidRPr="00AF35BE" w:rsidRDefault="00AF35BE" w:rsidP="00AF35BE">
      <w:pPr>
        <w:pStyle w:val="ListParagraph"/>
        <w:ind w:left="360"/>
        <w:rPr>
          <w:rFonts w:ascii="Calibri" w:eastAsia="Calibri" w:hAnsi="Calibri" w:cs="Calibri"/>
        </w:rPr>
      </w:pPr>
    </w:p>
    <w:p w14:paraId="6C366226" w14:textId="53C78C77" w:rsidR="00B105AA" w:rsidRPr="00AE0611" w:rsidRDefault="013CACFA" w:rsidP="00D2319D">
      <w:pPr>
        <w:pStyle w:val="ListParagraph"/>
        <w:numPr>
          <w:ilvl w:val="0"/>
          <w:numId w:val="1"/>
        </w:numPr>
        <w:ind w:left="360"/>
        <w:rPr>
          <w:rFonts w:ascii="Calibri" w:eastAsia="Calibri" w:hAnsi="Calibri" w:cs="Calibri"/>
        </w:rPr>
      </w:pPr>
      <w:r w:rsidRPr="00AE0611">
        <w:rPr>
          <w:rFonts w:ascii="Calibri" w:eastAsia="Calibri" w:hAnsi="Calibri" w:cs="Calibri"/>
        </w:rPr>
        <w:t xml:space="preserve">Do you agree with the purpose and objectives of the FIP proposal? If not, please provide suggested changes and a justification. </w:t>
      </w:r>
    </w:p>
    <w:p w14:paraId="4A1E3CA0" w14:textId="4246917C" w:rsidR="00AE0611" w:rsidRDefault="007A206B" w:rsidP="00D2319D">
      <w:pPr>
        <w:pStyle w:val="ListParagraph"/>
        <w:ind w:left="360"/>
      </w:pPr>
      <w:r w:rsidRPr="0067777C">
        <w:rPr>
          <w:rFonts w:ascii="Calibri" w:eastAsia="Calibri" w:hAnsi="Calibri" w:cs="Calibri"/>
          <w:b/>
          <w:bCs/>
        </w:rPr>
        <w:t>Purpose:</w:t>
      </w:r>
      <w:r>
        <w:rPr>
          <w:rFonts w:ascii="Calibri" w:eastAsia="Calibri" w:hAnsi="Calibri" w:cs="Calibri"/>
        </w:rPr>
        <w:t xml:space="preserve"> </w:t>
      </w:r>
      <w:r w:rsidR="008E509A">
        <w:t xml:space="preserve">develop “investment grade” inputs/assumptions and MDHD charging scenarios to be used in medium/long-term (3 to 20-yr time horizon) grid planning to identify MDHD freight electric infrastructure needs.  </w:t>
      </w:r>
      <w:r>
        <w:t>Medium/long-term planning identifies the generation and infrastructure needed to enable the state’s electric procurement policies and programs, while ensuring that California has a safe, reliable, and cost-effective electricity supply.</w:t>
      </w:r>
      <w:r w:rsidR="0067777C">
        <w:t xml:space="preserve">  </w:t>
      </w:r>
      <w:r w:rsidR="006A089B">
        <w:t>Addressing i</w:t>
      </w:r>
      <w:r w:rsidR="0067777C">
        <w:t xml:space="preserve">mmediate/short-term demand </w:t>
      </w:r>
      <w:r w:rsidR="006A089B">
        <w:t xml:space="preserve">and staff resource constraints will be </w:t>
      </w:r>
      <w:r w:rsidR="00E526BB">
        <w:t xml:space="preserve">outside the scope of the CPUC FIP. </w:t>
      </w:r>
    </w:p>
    <w:p w14:paraId="7287D7F1" w14:textId="77777777" w:rsidR="00E526BB" w:rsidRDefault="00E526BB" w:rsidP="00D2319D">
      <w:pPr>
        <w:pStyle w:val="ListParagraph"/>
        <w:ind w:left="360"/>
        <w:rPr>
          <w:rFonts w:ascii="Calibri" w:eastAsia="Calibri" w:hAnsi="Calibri" w:cs="Calibri"/>
        </w:rPr>
      </w:pPr>
    </w:p>
    <w:p w14:paraId="65E013CA" w14:textId="5BE93E52" w:rsidR="00E526BB" w:rsidRDefault="00E526BB" w:rsidP="00D2319D">
      <w:pPr>
        <w:pStyle w:val="ListParagraph"/>
        <w:ind w:left="360"/>
        <w:rPr>
          <w:rFonts w:ascii="Calibri" w:eastAsia="Calibri" w:hAnsi="Calibri" w:cs="Calibri"/>
        </w:rPr>
      </w:pPr>
      <w:r w:rsidRPr="005656B4">
        <w:rPr>
          <w:rFonts w:ascii="Calibri" w:eastAsia="Calibri" w:hAnsi="Calibri" w:cs="Calibri"/>
          <w:b/>
          <w:bCs/>
        </w:rPr>
        <w:t>Metro response:</w:t>
      </w:r>
      <w:r>
        <w:rPr>
          <w:rFonts w:ascii="Calibri" w:eastAsia="Calibri" w:hAnsi="Calibri" w:cs="Calibri"/>
        </w:rPr>
        <w:t xml:space="preserve">  LA Metro agrees the need to focus on the medium/long-term grid planning </w:t>
      </w:r>
      <w:r w:rsidR="005F6EAA">
        <w:rPr>
          <w:rFonts w:ascii="Calibri" w:eastAsia="Calibri" w:hAnsi="Calibri" w:cs="Calibri"/>
        </w:rPr>
        <w:t xml:space="preserve">to support the state’s electric procurement policies and </w:t>
      </w:r>
      <w:r w:rsidR="002A087E">
        <w:rPr>
          <w:rFonts w:ascii="Calibri" w:eastAsia="Calibri" w:hAnsi="Calibri" w:cs="Calibri"/>
        </w:rPr>
        <w:t xml:space="preserve">safe, </w:t>
      </w:r>
      <w:proofErr w:type="gramStart"/>
      <w:r w:rsidR="002A087E">
        <w:rPr>
          <w:rFonts w:ascii="Calibri" w:eastAsia="Calibri" w:hAnsi="Calibri" w:cs="Calibri"/>
        </w:rPr>
        <w:t>reliable</w:t>
      </w:r>
      <w:proofErr w:type="gramEnd"/>
      <w:r w:rsidR="002A087E">
        <w:rPr>
          <w:rFonts w:ascii="Calibri" w:eastAsia="Calibri" w:hAnsi="Calibri" w:cs="Calibri"/>
        </w:rPr>
        <w:t xml:space="preserve"> and cost-effective electricity supply</w:t>
      </w:r>
      <w:r w:rsidR="005656B4">
        <w:rPr>
          <w:rFonts w:ascii="Calibri" w:eastAsia="Calibri" w:hAnsi="Calibri" w:cs="Calibri"/>
        </w:rPr>
        <w:t>. However,</w:t>
      </w:r>
      <w:r w:rsidR="002A087E">
        <w:rPr>
          <w:rFonts w:ascii="Calibri" w:eastAsia="Calibri" w:hAnsi="Calibri" w:cs="Calibri"/>
        </w:rPr>
        <w:t xml:space="preserve"> there is so much anxiety around the immediate/short-term electricity supply sufficiency</w:t>
      </w:r>
      <w:r w:rsidR="00707CE4">
        <w:rPr>
          <w:rFonts w:ascii="Calibri" w:eastAsia="Calibri" w:hAnsi="Calibri" w:cs="Calibri"/>
        </w:rPr>
        <w:t xml:space="preserve"> across the state and from all stakeholders including the freight and logistics businesses</w:t>
      </w:r>
      <w:r w:rsidR="002337FA">
        <w:rPr>
          <w:rFonts w:ascii="Calibri" w:eastAsia="Calibri" w:hAnsi="Calibri" w:cs="Calibri"/>
        </w:rPr>
        <w:t xml:space="preserve">. </w:t>
      </w:r>
      <w:r w:rsidR="00F063B5">
        <w:rPr>
          <w:rFonts w:ascii="Calibri" w:eastAsia="Calibri" w:hAnsi="Calibri" w:cs="Calibri"/>
        </w:rPr>
        <w:t xml:space="preserve">During the development </w:t>
      </w:r>
      <w:r w:rsidR="00CD22FE">
        <w:rPr>
          <w:rFonts w:ascii="Calibri" w:eastAsia="Calibri" w:hAnsi="Calibri" w:cs="Calibri"/>
        </w:rPr>
        <w:t xml:space="preserve">of the </w:t>
      </w:r>
      <w:r w:rsidR="00CD22FE">
        <w:rPr>
          <w:rFonts w:ascii="Calibri" w:eastAsia="Calibri" w:hAnsi="Calibri" w:cs="Calibri"/>
        </w:rPr>
        <w:lastRenderedPageBreak/>
        <w:t>FIP,</w:t>
      </w:r>
      <w:r w:rsidR="00D57790">
        <w:rPr>
          <w:rFonts w:ascii="Calibri" w:eastAsia="Calibri" w:hAnsi="Calibri" w:cs="Calibri"/>
        </w:rPr>
        <w:t xml:space="preserve"> reiterating what CPUC is doing to address</w:t>
      </w:r>
      <w:r w:rsidR="00F063B5">
        <w:rPr>
          <w:rFonts w:ascii="Calibri" w:eastAsia="Calibri" w:hAnsi="Calibri" w:cs="Calibri"/>
        </w:rPr>
        <w:t xml:space="preserve"> </w:t>
      </w:r>
      <w:r w:rsidR="00AD4CA9">
        <w:rPr>
          <w:rFonts w:ascii="Calibri" w:eastAsia="Calibri" w:hAnsi="Calibri" w:cs="Calibri"/>
        </w:rPr>
        <w:t xml:space="preserve">the immediate/short-term supply </w:t>
      </w:r>
      <w:r w:rsidR="00F063B5">
        <w:rPr>
          <w:rFonts w:ascii="Calibri" w:eastAsia="Calibri" w:hAnsi="Calibri" w:cs="Calibri"/>
        </w:rPr>
        <w:t>needs and</w:t>
      </w:r>
      <w:r w:rsidR="00B02D69">
        <w:rPr>
          <w:rFonts w:ascii="Calibri" w:eastAsia="Calibri" w:hAnsi="Calibri" w:cs="Calibri"/>
        </w:rPr>
        <w:t xml:space="preserve"> clearly linking the FIP </w:t>
      </w:r>
      <w:proofErr w:type="gramStart"/>
      <w:r w:rsidR="00B02D69">
        <w:rPr>
          <w:rFonts w:ascii="Calibri" w:eastAsia="Calibri" w:hAnsi="Calibri" w:cs="Calibri"/>
        </w:rPr>
        <w:t>efforts</w:t>
      </w:r>
      <w:proofErr w:type="gramEnd"/>
      <w:r w:rsidR="00B02D69">
        <w:rPr>
          <w:rFonts w:ascii="Calibri" w:eastAsia="Calibri" w:hAnsi="Calibri" w:cs="Calibri"/>
        </w:rPr>
        <w:t xml:space="preserve"> and </w:t>
      </w:r>
      <w:r w:rsidR="006F7FDF">
        <w:rPr>
          <w:rFonts w:ascii="Calibri" w:eastAsia="Calibri" w:hAnsi="Calibri" w:cs="Calibri"/>
        </w:rPr>
        <w:t xml:space="preserve">the immediate/short-term needs seem to be a critical topic.  </w:t>
      </w:r>
    </w:p>
    <w:p w14:paraId="1DDA2B46" w14:textId="77777777" w:rsidR="008A3042" w:rsidRDefault="008A3042" w:rsidP="00D2319D">
      <w:pPr>
        <w:pStyle w:val="ListParagraph"/>
        <w:ind w:left="360"/>
        <w:rPr>
          <w:rFonts w:ascii="Calibri" w:eastAsia="Calibri" w:hAnsi="Calibri" w:cs="Calibri"/>
        </w:rPr>
      </w:pPr>
    </w:p>
    <w:p w14:paraId="7D254DA9" w14:textId="3F2D8794" w:rsidR="008A3042" w:rsidRDefault="004D49AF" w:rsidP="00D2319D">
      <w:pPr>
        <w:pStyle w:val="ListParagraph"/>
        <w:ind w:left="360"/>
        <w:rPr>
          <w:rFonts w:ascii="Calibri" w:eastAsia="Calibri" w:hAnsi="Calibri" w:cs="Calibri"/>
        </w:rPr>
      </w:pPr>
      <w:r>
        <w:rPr>
          <w:rFonts w:ascii="Calibri" w:eastAsia="Calibri" w:hAnsi="Calibri" w:cs="Calibri"/>
        </w:rPr>
        <w:t xml:space="preserve">Additionally, there is ongoing local planning </w:t>
      </w:r>
      <w:r w:rsidR="0067790D">
        <w:rPr>
          <w:rFonts w:ascii="Calibri" w:eastAsia="Calibri" w:hAnsi="Calibri" w:cs="Calibri"/>
        </w:rPr>
        <w:t xml:space="preserve">collaboration </w:t>
      </w:r>
      <w:r w:rsidR="001E74B2">
        <w:rPr>
          <w:rFonts w:ascii="Calibri" w:eastAsia="Calibri" w:hAnsi="Calibri" w:cs="Calibri"/>
        </w:rPr>
        <w:t xml:space="preserve">between IOUs and local transportation agencies/transit operators such as Metro.  </w:t>
      </w:r>
      <w:r w:rsidR="003B7006">
        <w:rPr>
          <w:rFonts w:ascii="Calibri" w:eastAsia="Calibri" w:hAnsi="Calibri" w:cs="Calibri"/>
        </w:rPr>
        <w:t xml:space="preserve">This </w:t>
      </w:r>
      <w:r w:rsidR="007C3B7B">
        <w:rPr>
          <w:rFonts w:ascii="Calibri" w:eastAsia="Calibri" w:hAnsi="Calibri" w:cs="Calibri"/>
        </w:rPr>
        <w:t xml:space="preserve">kind of collaboration and coordination should be encouraged </w:t>
      </w:r>
      <w:r w:rsidR="00A453E8">
        <w:rPr>
          <w:rFonts w:ascii="Calibri" w:eastAsia="Calibri" w:hAnsi="Calibri" w:cs="Calibri"/>
        </w:rPr>
        <w:t xml:space="preserve">and reflected </w:t>
      </w:r>
      <w:r w:rsidR="00570EB2">
        <w:rPr>
          <w:rFonts w:ascii="Calibri" w:eastAsia="Calibri" w:hAnsi="Calibri" w:cs="Calibri"/>
        </w:rPr>
        <w:t xml:space="preserve">at the state level </w:t>
      </w:r>
      <w:r w:rsidR="00270E80">
        <w:rPr>
          <w:rFonts w:ascii="Calibri" w:eastAsia="Calibri" w:hAnsi="Calibri" w:cs="Calibri"/>
        </w:rPr>
        <w:t xml:space="preserve">to leverage the </w:t>
      </w:r>
      <w:r w:rsidR="00B1578F">
        <w:rPr>
          <w:rFonts w:ascii="Calibri" w:eastAsia="Calibri" w:hAnsi="Calibri" w:cs="Calibri"/>
        </w:rPr>
        <w:t xml:space="preserve">local </w:t>
      </w:r>
      <w:r w:rsidR="00301927">
        <w:rPr>
          <w:rFonts w:ascii="Calibri" w:eastAsia="Calibri" w:hAnsi="Calibri" w:cs="Calibri"/>
        </w:rPr>
        <w:t xml:space="preserve">expertise </w:t>
      </w:r>
      <w:r w:rsidR="00B1578F">
        <w:rPr>
          <w:rFonts w:ascii="Calibri" w:eastAsia="Calibri" w:hAnsi="Calibri" w:cs="Calibri"/>
        </w:rPr>
        <w:t xml:space="preserve">and knowledge </w:t>
      </w:r>
      <w:r w:rsidR="00A662D2">
        <w:rPr>
          <w:rFonts w:ascii="Calibri" w:eastAsia="Calibri" w:hAnsi="Calibri" w:cs="Calibri"/>
        </w:rPr>
        <w:t xml:space="preserve">in support of </w:t>
      </w:r>
      <w:r w:rsidR="0096157D">
        <w:rPr>
          <w:rFonts w:ascii="Calibri" w:eastAsia="Calibri" w:hAnsi="Calibri" w:cs="Calibri"/>
        </w:rPr>
        <w:t xml:space="preserve">the FIP and achieving common end goals.  </w:t>
      </w:r>
    </w:p>
    <w:p w14:paraId="329E9CD2" w14:textId="77777777" w:rsidR="004235F5" w:rsidRPr="00AE0611" w:rsidRDefault="004235F5" w:rsidP="00D2319D">
      <w:pPr>
        <w:pStyle w:val="ListParagraph"/>
        <w:ind w:left="360"/>
        <w:rPr>
          <w:rFonts w:ascii="Calibri" w:eastAsia="Calibri" w:hAnsi="Calibri" w:cs="Calibri"/>
        </w:rPr>
      </w:pPr>
    </w:p>
    <w:p w14:paraId="6EC1838B" w14:textId="0B33D0E0" w:rsidR="00B105AA" w:rsidRPr="001A75C1" w:rsidRDefault="013CACFA" w:rsidP="00D2319D">
      <w:pPr>
        <w:pStyle w:val="ListParagraph"/>
        <w:numPr>
          <w:ilvl w:val="0"/>
          <w:numId w:val="1"/>
        </w:numPr>
        <w:ind w:left="360"/>
        <w:rPr>
          <w:rFonts w:ascii="Calibri" w:eastAsia="Calibri" w:hAnsi="Calibri" w:cs="Calibri"/>
        </w:rPr>
      </w:pPr>
      <w:proofErr w:type="gramStart"/>
      <w:r w:rsidRPr="001A75C1">
        <w:rPr>
          <w:rFonts w:ascii="Calibri" w:eastAsia="Calibri" w:hAnsi="Calibri" w:cs="Calibri"/>
        </w:rPr>
        <w:t>Are</w:t>
      </w:r>
      <w:proofErr w:type="gramEnd"/>
      <w:r w:rsidRPr="001A75C1">
        <w:rPr>
          <w:rFonts w:ascii="Calibri" w:eastAsia="Calibri" w:hAnsi="Calibri" w:cs="Calibri"/>
        </w:rPr>
        <w:t xml:space="preserve"> there any additional market, regulatory, operational, or infrastructure issues that need to be considered for the MDHD freight planning problem statement? </w:t>
      </w:r>
    </w:p>
    <w:p w14:paraId="4BC350C3" w14:textId="77777777" w:rsidR="007A3019" w:rsidRDefault="007A3019" w:rsidP="00D2319D">
      <w:pPr>
        <w:pStyle w:val="ListParagraph"/>
        <w:ind w:left="360"/>
        <w:rPr>
          <w:rFonts w:ascii="Calibri" w:eastAsia="Calibri" w:hAnsi="Calibri" w:cs="Calibri"/>
          <w:b/>
          <w:bCs/>
        </w:rPr>
      </w:pPr>
    </w:p>
    <w:p w14:paraId="0B3BABA0" w14:textId="6365999F" w:rsidR="001A75C1" w:rsidRDefault="00834977" w:rsidP="00D2319D">
      <w:pPr>
        <w:pStyle w:val="ListParagraph"/>
        <w:ind w:left="360"/>
        <w:rPr>
          <w:rFonts w:ascii="Calibri" w:eastAsia="Calibri" w:hAnsi="Calibri" w:cs="Calibri"/>
        </w:rPr>
      </w:pPr>
      <w:r w:rsidRPr="004235F5">
        <w:rPr>
          <w:rFonts w:ascii="Calibri" w:eastAsia="Calibri" w:hAnsi="Calibri" w:cs="Calibri"/>
          <w:b/>
          <w:bCs/>
        </w:rPr>
        <w:t>Metro response</w:t>
      </w:r>
      <w:r>
        <w:rPr>
          <w:rFonts w:ascii="Calibri" w:eastAsia="Calibri" w:hAnsi="Calibri" w:cs="Calibri"/>
        </w:rPr>
        <w:t xml:space="preserve">: </w:t>
      </w:r>
      <w:r w:rsidR="004235F5">
        <w:rPr>
          <w:rFonts w:ascii="Calibri" w:eastAsia="Calibri" w:hAnsi="Calibri" w:cs="Calibri"/>
        </w:rPr>
        <w:t xml:space="preserve">Charging behaviors for </w:t>
      </w:r>
      <w:r w:rsidR="00B54059">
        <w:rPr>
          <w:rFonts w:ascii="Calibri" w:eastAsia="Calibri" w:hAnsi="Calibri" w:cs="Calibri"/>
        </w:rPr>
        <w:t xml:space="preserve">MDHD freight vehicles are anticipated to be different from general purpose </w:t>
      </w:r>
      <w:r w:rsidR="006328B5">
        <w:rPr>
          <w:rFonts w:ascii="Calibri" w:eastAsia="Calibri" w:hAnsi="Calibri" w:cs="Calibri"/>
        </w:rPr>
        <w:t xml:space="preserve">vehicles.  For example, many HD trucks will </w:t>
      </w:r>
      <w:r w:rsidR="004F5C06">
        <w:rPr>
          <w:rFonts w:ascii="Calibri" w:eastAsia="Calibri" w:hAnsi="Calibri" w:cs="Calibri"/>
        </w:rPr>
        <w:t xml:space="preserve">likely </w:t>
      </w:r>
      <w:r w:rsidR="006328B5">
        <w:rPr>
          <w:rFonts w:ascii="Calibri" w:eastAsia="Calibri" w:hAnsi="Calibri" w:cs="Calibri"/>
        </w:rPr>
        <w:t xml:space="preserve">charge overnight, and </w:t>
      </w:r>
      <w:r w:rsidR="004F5C06">
        <w:rPr>
          <w:rFonts w:ascii="Calibri" w:eastAsia="Calibri" w:hAnsi="Calibri" w:cs="Calibri"/>
        </w:rPr>
        <w:t xml:space="preserve">require fast opportunity charging during the day. This means that there will be </w:t>
      </w:r>
      <w:r w:rsidR="00C43448">
        <w:rPr>
          <w:rFonts w:ascii="Calibri" w:eastAsia="Calibri" w:hAnsi="Calibri" w:cs="Calibri"/>
        </w:rPr>
        <w:t xml:space="preserve">very little opportunity for demand management through rates and time for MDHD freight vehicles. </w:t>
      </w:r>
      <w:r w:rsidR="001F4D3A">
        <w:rPr>
          <w:rFonts w:ascii="Calibri" w:eastAsia="Calibri" w:hAnsi="Calibri" w:cs="Calibri"/>
        </w:rPr>
        <w:t>Public transit agencies will have similar demand for their HD buses</w:t>
      </w:r>
      <w:r w:rsidR="00786B8F">
        <w:rPr>
          <w:rFonts w:ascii="Calibri" w:eastAsia="Calibri" w:hAnsi="Calibri" w:cs="Calibri"/>
        </w:rPr>
        <w:t xml:space="preserve"> for overnight and daytime charging. </w:t>
      </w:r>
      <w:r w:rsidR="00B108BE">
        <w:rPr>
          <w:rFonts w:ascii="Calibri" w:eastAsia="Calibri" w:hAnsi="Calibri" w:cs="Calibri"/>
        </w:rPr>
        <w:t xml:space="preserve">Such emerging charging behaviors should be reflected in the problem statement.  </w:t>
      </w:r>
    </w:p>
    <w:p w14:paraId="48B10CCB" w14:textId="77777777" w:rsidR="00FF3E2C" w:rsidRPr="001A75C1" w:rsidRDefault="00FF3E2C" w:rsidP="00D2319D">
      <w:pPr>
        <w:pStyle w:val="ListParagraph"/>
        <w:ind w:left="360"/>
        <w:rPr>
          <w:rFonts w:ascii="Calibri" w:eastAsia="Calibri" w:hAnsi="Calibri" w:cs="Calibri"/>
        </w:rPr>
      </w:pPr>
    </w:p>
    <w:p w14:paraId="0926AB18" w14:textId="2722B21D" w:rsidR="00B105AA" w:rsidRPr="0068189C" w:rsidRDefault="013CACFA" w:rsidP="00D2319D">
      <w:pPr>
        <w:pStyle w:val="ListParagraph"/>
        <w:numPr>
          <w:ilvl w:val="0"/>
          <w:numId w:val="1"/>
        </w:numPr>
        <w:ind w:left="360"/>
        <w:rPr>
          <w:rFonts w:ascii="Calibri" w:eastAsia="Calibri" w:hAnsi="Calibri" w:cs="Calibri"/>
        </w:rPr>
      </w:pPr>
      <w:r w:rsidRPr="0068189C">
        <w:rPr>
          <w:rFonts w:ascii="Calibri" w:eastAsia="Calibri" w:hAnsi="Calibri" w:cs="Calibri"/>
        </w:rPr>
        <w:t xml:space="preserve">Given that FIP is planning for BEVs and FCEVs that will be dependent on long lead time electrical infrastructure, what changes would you make to the problem statement to capture the needs associated with LDV DCFC and hydrogen refueling? Are there any other vehicle classes that will have significant and localized impacts on electric infrastructure? </w:t>
      </w:r>
    </w:p>
    <w:p w14:paraId="129988D3" w14:textId="326429A2" w:rsidR="0068189C" w:rsidRPr="00FF3E2C" w:rsidRDefault="00FF3E2C" w:rsidP="00D2319D">
      <w:pPr>
        <w:ind w:left="360"/>
        <w:rPr>
          <w:rFonts w:ascii="Calibri" w:eastAsia="Calibri" w:hAnsi="Calibri" w:cs="Calibri"/>
        </w:rPr>
      </w:pPr>
      <w:r w:rsidRPr="004A7C02">
        <w:rPr>
          <w:rFonts w:ascii="Calibri" w:eastAsia="Calibri" w:hAnsi="Calibri" w:cs="Calibri"/>
          <w:b/>
          <w:bCs/>
        </w:rPr>
        <w:t>Metro Response:</w:t>
      </w:r>
      <w:r>
        <w:rPr>
          <w:rFonts w:ascii="Calibri" w:eastAsia="Calibri" w:hAnsi="Calibri" w:cs="Calibri"/>
        </w:rPr>
        <w:t xml:space="preserve"> Transit buses and their charging demand should be factored in </w:t>
      </w:r>
      <w:r w:rsidR="004A7C02">
        <w:rPr>
          <w:rFonts w:ascii="Calibri" w:eastAsia="Calibri" w:hAnsi="Calibri" w:cs="Calibri"/>
        </w:rPr>
        <w:t xml:space="preserve">the problem statement.  </w:t>
      </w:r>
    </w:p>
    <w:p w14:paraId="2AE35A59" w14:textId="287372D8" w:rsidR="00B105AA" w:rsidRPr="008112A3" w:rsidRDefault="013CACFA" w:rsidP="00D2319D">
      <w:pPr>
        <w:pStyle w:val="ListParagraph"/>
        <w:numPr>
          <w:ilvl w:val="0"/>
          <w:numId w:val="1"/>
        </w:numPr>
        <w:ind w:left="360"/>
        <w:rPr>
          <w:rFonts w:ascii="Calibri" w:eastAsia="Calibri" w:hAnsi="Calibri" w:cs="Calibri"/>
        </w:rPr>
      </w:pPr>
      <w:r w:rsidRPr="008112A3">
        <w:rPr>
          <w:rFonts w:ascii="Calibri" w:eastAsia="Calibri" w:hAnsi="Calibri" w:cs="Calibri"/>
        </w:rPr>
        <w:t>What changes to the MDHD FIP process, and associated inputs/outputs, are needed to capture the electrical infrastructure needs for LDV DCFC and FCEV?</w:t>
      </w:r>
    </w:p>
    <w:p w14:paraId="44987954" w14:textId="77777777" w:rsidR="008112A3" w:rsidRPr="008112A3" w:rsidRDefault="008112A3" w:rsidP="00D2319D">
      <w:pPr>
        <w:pStyle w:val="ListParagraph"/>
        <w:ind w:left="360"/>
        <w:rPr>
          <w:rFonts w:ascii="Calibri" w:eastAsia="Calibri" w:hAnsi="Calibri" w:cs="Calibri"/>
        </w:rPr>
      </w:pPr>
    </w:p>
    <w:p w14:paraId="610010C0" w14:textId="57DA2B35" w:rsidR="00B105AA" w:rsidRPr="005404C1" w:rsidRDefault="013CACFA" w:rsidP="00D2319D">
      <w:pPr>
        <w:pStyle w:val="ListParagraph"/>
        <w:numPr>
          <w:ilvl w:val="0"/>
          <w:numId w:val="1"/>
        </w:numPr>
        <w:ind w:left="360"/>
        <w:rPr>
          <w:rFonts w:ascii="Calibri" w:eastAsia="Calibri" w:hAnsi="Calibri" w:cs="Calibri"/>
        </w:rPr>
      </w:pPr>
      <w:r w:rsidRPr="005404C1">
        <w:rPr>
          <w:rFonts w:ascii="Calibri" w:eastAsia="Calibri" w:hAnsi="Calibri" w:cs="Calibri"/>
        </w:rPr>
        <w:t xml:space="preserve">Given the rapid acceleration of TE growth that is expected to occur between 2033 to 2045, does the FIP planning horizon need to be 20 years? If so, what process alignments and reforms are needed to ensure that the inputs developed outside of FIP consider a 20-yr time horizon and that the FIP 20-yr outputs can inform forecasting and planning appropriately? </w:t>
      </w:r>
    </w:p>
    <w:p w14:paraId="2BFE3E64" w14:textId="77777777" w:rsidR="005404C1" w:rsidRPr="005404C1" w:rsidRDefault="005404C1" w:rsidP="00D2319D">
      <w:pPr>
        <w:pStyle w:val="ListParagraph"/>
        <w:ind w:left="360"/>
        <w:rPr>
          <w:rFonts w:ascii="Calibri" w:eastAsia="Calibri" w:hAnsi="Calibri" w:cs="Calibri"/>
        </w:rPr>
      </w:pPr>
    </w:p>
    <w:p w14:paraId="15C23E3B" w14:textId="19AA8DC1" w:rsidR="005404C1" w:rsidRDefault="00B231E7" w:rsidP="00D2319D">
      <w:pPr>
        <w:pStyle w:val="ListParagraph"/>
        <w:ind w:left="360"/>
        <w:rPr>
          <w:rFonts w:ascii="Calibri" w:eastAsia="Calibri" w:hAnsi="Calibri" w:cs="Calibri"/>
        </w:rPr>
      </w:pPr>
      <w:r w:rsidRPr="00F37E6D">
        <w:rPr>
          <w:rFonts w:ascii="Calibri" w:eastAsia="Calibri" w:hAnsi="Calibri" w:cs="Calibri"/>
          <w:b/>
          <w:bCs/>
        </w:rPr>
        <w:t>Metro response</w:t>
      </w:r>
      <w:r>
        <w:rPr>
          <w:rFonts w:ascii="Calibri" w:eastAsia="Calibri" w:hAnsi="Calibri" w:cs="Calibri"/>
        </w:rPr>
        <w:t xml:space="preserve">: </w:t>
      </w:r>
      <w:r w:rsidR="00C56418">
        <w:rPr>
          <w:rFonts w:ascii="Calibri" w:eastAsia="Calibri" w:hAnsi="Calibri" w:cs="Calibri"/>
        </w:rPr>
        <w:t xml:space="preserve">Given the dynamic environment surrounding the </w:t>
      </w:r>
      <w:r w:rsidR="00EB2A61">
        <w:rPr>
          <w:rFonts w:ascii="Calibri" w:eastAsia="Calibri" w:hAnsi="Calibri" w:cs="Calibri"/>
        </w:rPr>
        <w:t xml:space="preserve">TE, </w:t>
      </w:r>
      <w:r w:rsidR="00CC565B">
        <w:rPr>
          <w:rFonts w:ascii="Calibri" w:eastAsia="Calibri" w:hAnsi="Calibri" w:cs="Calibri"/>
        </w:rPr>
        <w:t xml:space="preserve">the value and usefulness of a 20-year </w:t>
      </w:r>
      <w:proofErr w:type="gramStart"/>
      <w:r w:rsidR="000F0A95">
        <w:rPr>
          <w:rFonts w:ascii="Calibri" w:eastAsia="Calibri" w:hAnsi="Calibri" w:cs="Calibri"/>
        </w:rPr>
        <w:t>plan, and</w:t>
      </w:r>
      <w:proofErr w:type="gramEnd"/>
      <w:r w:rsidR="000F0A95">
        <w:rPr>
          <w:rFonts w:ascii="Calibri" w:eastAsia="Calibri" w:hAnsi="Calibri" w:cs="Calibri"/>
        </w:rPr>
        <w:t xml:space="preserve"> developing investment grade assumptions to support the analysis for such a </w:t>
      </w:r>
      <w:r w:rsidR="00580204">
        <w:rPr>
          <w:rFonts w:ascii="Calibri" w:eastAsia="Calibri" w:hAnsi="Calibri" w:cs="Calibri"/>
        </w:rPr>
        <w:t xml:space="preserve">long time-horizon plan are somewhat questionable. Rather, </w:t>
      </w:r>
      <w:r w:rsidR="00EE4F6C">
        <w:rPr>
          <w:rFonts w:ascii="Calibri" w:eastAsia="Calibri" w:hAnsi="Calibri" w:cs="Calibri"/>
        </w:rPr>
        <w:t xml:space="preserve">Metro suggests periodic FIP update cycles that align with </w:t>
      </w:r>
      <w:r w:rsidR="0061097E">
        <w:rPr>
          <w:rFonts w:ascii="Calibri" w:eastAsia="Calibri" w:hAnsi="Calibri" w:cs="Calibri"/>
        </w:rPr>
        <w:t>the timing of other relevant plans, both from CPUC and other state agencies</w:t>
      </w:r>
      <w:r w:rsidR="006220FA">
        <w:rPr>
          <w:rFonts w:ascii="Calibri" w:eastAsia="Calibri" w:hAnsi="Calibri" w:cs="Calibri"/>
        </w:rPr>
        <w:t xml:space="preserve">, as well as timing of funding opportunities.  </w:t>
      </w:r>
    </w:p>
    <w:p w14:paraId="0A80A31F" w14:textId="77777777" w:rsidR="006220FA" w:rsidRPr="005404C1" w:rsidRDefault="006220FA" w:rsidP="00D2319D">
      <w:pPr>
        <w:pStyle w:val="ListParagraph"/>
        <w:ind w:left="360"/>
        <w:rPr>
          <w:rFonts w:ascii="Calibri" w:eastAsia="Calibri" w:hAnsi="Calibri" w:cs="Calibri"/>
        </w:rPr>
      </w:pPr>
    </w:p>
    <w:p w14:paraId="2C078E63" w14:textId="24E4FA72" w:rsidR="00EF5945" w:rsidRPr="006220FA" w:rsidRDefault="013CACFA" w:rsidP="00D2319D">
      <w:pPr>
        <w:pStyle w:val="ListParagraph"/>
        <w:numPr>
          <w:ilvl w:val="0"/>
          <w:numId w:val="1"/>
        </w:numPr>
        <w:ind w:left="360"/>
        <w:rPr>
          <w:rFonts w:ascii="Calibri" w:eastAsia="Calibri" w:hAnsi="Calibri" w:cs="Calibri"/>
        </w:rPr>
      </w:pPr>
      <w:r w:rsidRPr="006220FA">
        <w:rPr>
          <w:rFonts w:ascii="Calibri" w:eastAsia="Calibri" w:hAnsi="Calibri" w:cs="Calibri"/>
        </w:rPr>
        <w:t xml:space="preserve">In response to SB 671, CTC recently identified 6 high priority freight corridors and the charging infrastructure needed to support the deployment of zero emission MDHD vehicles. See Senate Bill 671 Workgroup (ca.gov) for more information about the analysis. Based on the CTC's initial analysis on </w:t>
      </w:r>
      <w:r w:rsidRPr="006220FA">
        <w:rPr>
          <w:rFonts w:ascii="Calibri" w:eastAsia="Calibri" w:hAnsi="Calibri" w:cs="Calibri"/>
        </w:rPr>
        <w:lastRenderedPageBreak/>
        <w:t>priority ZEV freight corridors (see Slide 56 for summary), does the potential scale and timing of electrification require modifications to the FIP proposal?</w:t>
      </w:r>
    </w:p>
    <w:p w14:paraId="6DBDC96B" w14:textId="77777777" w:rsidR="006220FA" w:rsidRDefault="006220FA" w:rsidP="00D2319D">
      <w:pPr>
        <w:pStyle w:val="ListParagraph"/>
        <w:ind w:left="360"/>
        <w:rPr>
          <w:rFonts w:ascii="Calibri" w:eastAsia="Calibri" w:hAnsi="Calibri" w:cs="Calibri"/>
        </w:rPr>
      </w:pPr>
    </w:p>
    <w:p w14:paraId="20B36D6E" w14:textId="56A04CED" w:rsidR="006220FA" w:rsidRDefault="006220FA" w:rsidP="00D2319D">
      <w:pPr>
        <w:pStyle w:val="ListParagraph"/>
        <w:ind w:left="360"/>
        <w:rPr>
          <w:rFonts w:ascii="Calibri" w:eastAsia="Calibri" w:hAnsi="Calibri" w:cs="Calibri"/>
        </w:rPr>
      </w:pPr>
      <w:r w:rsidRPr="00A75985">
        <w:rPr>
          <w:rFonts w:ascii="Calibri" w:eastAsia="Calibri" w:hAnsi="Calibri" w:cs="Calibri"/>
          <w:b/>
          <w:bCs/>
        </w:rPr>
        <w:t>Metro response:</w:t>
      </w:r>
      <w:r>
        <w:rPr>
          <w:rFonts w:ascii="Calibri" w:eastAsia="Calibri" w:hAnsi="Calibri" w:cs="Calibri"/>
        </w:rPr>
        <w:t xml:space="preserve"> </w:t>
      </w:r>
      <w:r w:rsidR="005D477E">
        <w:rPr>
          <w:rFonts w:ascii="Calibri" w:eastAsia="Calibri" w:hAnsi="Calibri" w:cs="Calibri"/>
        </w:rPr>
        <w:t xml:space="preserve">Metro </w:t>
      </w:r>
      <w:r w:rsidR="00A75985">
        <w:rPr>
          <w:rFonts w:ascii="Calibri" w:eastAsia="Calibri" w:hAnsi="Calibri" w:cs="Calibri"/>
        </w:rPr>
        <w:t xml:space="preserve">generally </w:t>
      </w:r>
      <w:r w:rsidR="005D477E">
        <w:rPr>
          <w:rFonts w:ascii="Calibri" w:eastAsia="Calibri" w:hAnsi="Calibri" w:cs="Calibri"/>
        </w:rPr>
        <w:t xml:space="preserve">supports the </w:t>
      </w:r>
      <w:r w:rsidR="00025B2C">
        <w:rPr>
          <w:rFonts w:ascii="Calibri" w:eastAsia="Calibri" w:hAnsi="Calibri" w:cs="Calibri"/>
        </w:rPr>
        <w:t xml:space="preserve">CTC staff recommendation for the six high priority freight corridors and the associated </w:t>
      </w:r>
      <w:r w:rsidR="00A75985">
        <w:rPr>
          <w:rFonts w:ascii="Calibri" w:eastAsia="Calibri" w:hAnsi="Calibri" w:cs="Calibri"/>
        </w:rPr>
        <w:t>infrastructure needs assessment. However, given the ACF Rule’s emphasis on accelerating the transition of</w:t>
      </w:r>
      <w:r w:rsidR="00CD0523">
        <w:rPr>
          <w:rFonts w:ascii="Calibri" w:eastAsia="Calibri" w:hAnsi="Calibri" w:cs="Calibri"/>
        </w:rPr>
        <w:t xml:space="preserve"> zero-emission</w:t>
      </w:r>
      <w:r w:rsidR="00A75985">
        <w:rPr>
          <w:rFonts w:ascii="Calibri" w:eastAsia="Calibri" w:hAnsi="Calibri" w:cs="Calibri"/>
        </w:rPr>
        <w:t xml:space="preserve"> drayage trucks</w:t>
      </w:r>
      <w:r w:rsidR="005836C4">
        <w:rPr>
          <w:rFonts w:ascii="Calibri" w:eastAsia="Calibri" w:hAnsi="Calibri" w:cs="Calibri"/>
        </w:rPr>
        <w:t xml:space="preserve">, Metro anticipates more acute demand for infrastructure and energy along the I-710 corridor, which connects directly to the Ports of Los Angeles and Long Beach.  </w:t>
      </w:r>
      <w:r w:rsidR="001F2251">
        <w:rPr>
          <w:rFonts w:ascii="Calibri" w:eastAsia="Calibri" w:hAnsi="Calibri" w:cs="Calibri"/>
        </w:rPr>
        <w:t xml:space="preserve">Further, LA County is one of the most populous counties in the state, and it </w:t>
      </w:r>
      <w:r w:rsidR="00A05E7F">
        <w:rPr>
          <w:rFonts w:ascii="Calibri" w:eastAsia="Calibri" w:hAnsi="Calibri" w:cs="Calibri"/>
        </w:rPr>
        <w:t xml:space="preserve">generates a large demand for goods movement to satisfy the daily demand </w:t>
      </w:r>
      <w:r w:rsidR="006340E8">
        <w:rPr>
          <w:rFonts w:ascii="Calibri" w:eastAsia="Calibri" w:hAnsi="Calibri" w:cs="Calibri"/>
        </w:rPr>
        <w:t xml:space="preserve">derived from the county residents and businesses. </w:t>
      </w:r>
      <w:r w:rsidR="00FD4D5B">
        <w:rPr>
          <w:rFonts w:ascii="Calibri" w:eastAsia="Calibri" w:hAnsi="Calibri" w:cs="Calibri"/>
        </w:rPr>
        <w:t xml:space="preserve">These domestic serving trucks will </w:t>
      </w:r>
      <w:r w:rsidR="00DB0AF8">
        <w:rPr>
          <w:rFonts w:ascii="Calibri" w:eastAsia="Calibri" w:hAnsi="Calibri" w:cs="Calibri"/>
        </w:rPr>
        <w:t xml:space="preserve">generate a large demand for charging and supporting infrastructure. </w:t>
      </w:r>
      <w:r w:rsidR="004C30C6">
        <w:rPr>
          <w:rFonts w:ascii="Calibri" w:eastAsia="Calibri" w:hAnsi="Calibri" w:cs="Calibri"/>
        </w:rPr>
        <w:t xml:space="preserve">As such, Metro recommends CPUC to </w:t>
      </w:r>
      <w:r w:rsidR="00F1790E">
        <w:rPr>
          <w:rFonts w:ascii="Calibri" w:eastAsia="Calibri" w:hAnsi="Calibri" w:cs="Calibri"/>
        </w:rPr>
        <w:t>factor in</w:t>
      </w:r>
      <w:r w:rsidR="00BE6B8E">
        <w:rPr>
          <w:rFonts w:ascii="Calibri" w:eastAsia="Calibri" w:hAnsi="Calibri" w:cs="Calibri"/>
        </w:rPr>
        <w:t xml:space="preserve"> the FIP proposal</w:t>
      </w:r>
      <w:r w:rsidR="00F1790E">
        <w:rPr>
          <w:rFonts w:ascii="Calibri" w:eastAsia="Calibri" w:hAnsi="Calibri" w:cs="Calibri"/>
        </w:rPr>
        <w:t xml:space="preserve"> the elevated demand </w:t>
      </w:r>
      <w:r w:rsidR="00A23F7E">
        <w:rPr>
          <w:rFonts w:ascii="Calibri" w:eastAsia="Calibri" w:hAnsi="Calibri" w:cs="Calibri"/>
        </w:rPr>
        <w:t>for both infrastructure and energy supply both for near-term</w:t>
      </w:r>
      <w:r w:rsidR="00BE6B8E">
        <w:rPr>
          <w:rFonts w:ascii="Calibri" w:eastAsia="Calibri" w:hAnsi="Calibri" w:cs="Calibri"/>
        </w:rPr>
        <w:t xml:space="preserve"> (drayage trucks) and long-term (domestic market trucks).  </w:t>
      </w:r>
    </w:p>
    <w:p w14:paraId="212A0822" w14:textId="77777777" w:rsidR="00BE6B8E" w:rsidRPr="006220FA" w:rsidRDefault="00BE6B8E" w:rsidP="00D2319D">
      <w:pPr>
        <w:pStyle w:val="ListParagraph"/>
        <w:ind w:left="360"/>
        <w:rPr>
          <w:rFonts w:ascii="Calibri" w:eastAsia="Calibri" w:hAnsi="Calibri" w:cs="Calibri"/>
        </w:rPr>
      </w:pPr>
    </w:p>
    <w:p w14:paraId="551DB8B0" w14:textId="576F96BD" w:rsidR="002A14AA" w:rsidRDefault="002A14AA" w:rsidP="00D2319D">
      <w:pPr>
        <w:pStyle w:val="ListParagraph"/>
        <w:numPr>
          <w:ilvl w:val="0"/>
          <w:numId w:val="1"/>
        </w:numPr>
        <w:ind w:left="360"/>
      </w:pPr>
      <w:r>
        <w:t xml:space="preserve">Do you agree with the proposal that FIP would identify optimal charging zones, which is aggregation of potential charger locations, versus specific charging sites? Under what conditions would FIP identify a specific charging site (e.g., very large DCFC station)? Please provide alternative proposals or definitions if needed. </w:t>
      </w:r>
    </w:p>
    <w:p w14:paraId="3D00815D" w14:textId="77777777" w:rsidR="00BE6B8E" w:rsidRDefault="00BE6B8E" w:rsidP="00D2319D">
      <w:pPr>
        <w:pStyle w:val="ListParagraph"/>
        <w:ind w:left="360"/>
      </w:pPr>
    </w:p>
    <w:p w14:paraId="21BB7A83" w14:textId="19761F33" w:rsidR="00BE6B8E" w:rsidRDefault="00464922" w:rsidP="00D2319D">
      <w:pPr>
        <w:pStyle w:val="ListParagraph"/>
        <w:ind w:left="360"/>
      </w:pPr>
      <w:r w:rsidRPr="00A93594">
        <w:rPr>
          <w:b/>
          <w:bCs/>
        </w:rPr>
        <w:t>Metro response:</w:t>
      </w:r>
      <w:r>
        <w:t xml:space="preserve"> The concept of identifying optimal charging zones that would satisfy </w:t>
      </w:r>
      <w:r w:rsidR="00A93594">
        <w:t xml:space="preserve">business needs, energy sector requirements and policy goals makes sense. Metro would caution that FIP language would </w:t>
      </w:r>
      <w:r w:rsidR="00707CF9">
        <w:t>yield sufficient flexibility</w:t>
      </w:r>
      <w:r w:rsidR="00A93594">
        <w:t xml:space="preserve"> such that </w:t>
      </w:r>
      <w:r w:rsidR="00D139F9">
        <w:t>public investments would be allowed outside of such optimal charging zones</w:t>
      </w:r>
      <w:r w:rsidR="00484CE9">
        <w:t xml:space="preserve">, particularly </w:t>
      </w:r>
      <w:r w:rsidR="000F1512">
        <w:t xml:space="preserve">if proposed sites </w:t>
      </w:r>
      <w:r w:rsidR="009E29BB">
        <w:t xml:space="preserve">outside of such </w:t>
      </w:r>
      <w:r w:rsidR="00B22B0A">
        <w:t xml:space="preserve">optimal zones </w:t>
      </w:r>
      <w:r w:rsidR="000F1512">
        <w:t xml:space="preserve">would offer </w:t>
      </w:r>
      <w:r w:rsidR="00CA5D94">
        <w:t xml:space="preserve">greater public benefits, including addressing disparities associated with air quality and public health, access to </w:t>
      </w:r>
      <w:r w:rsidR="0087394A">
        <w:t xml:space="preserve">publicly available </w:t>
      </w:r>
      <w:r w:rsidR="00CA5D94">
        <w:t xml:space="preserve">charging, </w:t>
      </w:r>
      <w:r w:rsidR="004643E5">
        <w:t xml:space="preserve">and avoid displacement.  </w:t>
      </w:r>
    </w:p>
    <w:p w14:paraId="3A954AC2" w14:textId="77777777" w:rsidR="004643E5" w:rsidRDefault="004643E5" w:rsidP="00D2319D">
      <w:pPr>
        <w:pStyle w:val="ListParagraph"/>
        <w:ind w:left="360"/>
      </w:pPr>
    </w:p>
    <w:p w14:paraId="58CE684C" w14:textId="43824C61" w:rsidR="002A14AA" w:rsidRDefault="002A14AA" w:rsidP="00D2319D">
      <w:pPr>
        <w:pStyle w:val="ListParagraph"/>
        <w:numPr>
          <w:ilvl w:val="0"/>
          <w:numId w:val="1"/>
        </w:numPr>
        <w:ind w:left="360"/>
      </w:pPr>
      <w:r>
        <w:t xml:space="preserve">To what extent do load serving entities (e.g., IOUs and POUs) need to coordinate on electrifying their respective corridor segments, which are adjoining? Is there a need for a statewide plan for coordinating MDHD electrification across LSEs? Your response should address the fact that the CPUC doesn’t have jurisdiction over the POUs. </w:t>
      </w:r>
    </w:p>
    <w:p w14:paraId="5C84A590" w14:textId="1DDD28C4" w:rsidR="5163AAF2" w:rsidRDefault="5163AAF2" w:rsidP="00D2319D">
      <w:pPr>
        <w:pStyle w:val="ListParagraph"/>
        <w:ind w:left="360"/>
      </w:pPr>
    </w:p>
    <w:p w14:paraId="36B641CD" w14:textId="25F1051C" w:rsidR="363565C0" w:rsidRDefault="363565C0" w:rsidP="00D2319D">
      <w:pPr>
        <w:pStyle w:val="ListParagraph"/>
        <w:ind w:left="360"/>
      </w:pPr>
      <w:r w:rsidRPr="00D00B63">
        <w:rPr>
          <w:b/>
          <w:bCs/>
        </w:rPr>
        <w:t>Metro Response:</w:t>
      </w:r>
      <w:r w:rsidRPr="00743E48">
        <w:rPr>
          <w:b/>
          <w:bCs/>
          <w:color w:val="2B579A"/>
          <w:shd w:val="clear" w:color="auto" w:fill="E6E6E6"/>
        </w:rPr>
        <w:t xml:space="preserve"> </w:t>
      </w:r>
      <w:r>
        <w:t xml:space="preserve"> There has to be close coordination in the planning and execution of </w:t>
      </w:r>
      <w:r w:rsidR="182FD4DC">
        <w:t>corridor segment electrification between the IOUs and MOUs.</w:t>
      </w:r>
      <w:r w:rsidR="27A4FE27">
        <w:t xml:space="preserve">  This would result in optimized siting of charging stations, transmission and distribution systems, and </w:t>
      </w:r>
      <w:r w:rsidR="3C8DC30A">
        <w:t xml:space="preserve">energy generation </w:t>
      </w:r>
      <w:r w:rsidR="6F14ECF4">
        <w:t>facilities</w:t>
      </w:r>
      <w:r w:rsidR="01150C7E">
        <w:t>. Many of the assets currently contemplated are multi-jur</w:t>
      </w:r>
      <w:r w:rsidR="3FB9F1AF">
        <w:t xml:space="preserve">isdictional. Coordination would also provide insight into the resiliency of service </w:t>
      </w:r>
      <w:r w:rsidR="5D2D1757">
        <w:t>for current and future energy systems.</w:t>
      </w:r>
    </w:p>
    <w:p w14:paraId="155B78AC" w14:textId="41B6A769" w:rsidR="004643E5" w:rsidRDefault="004643E5" w:rsidP="00D2319D">
      <w:pPr>
        <w:pStyle w:val="ListParagraph"/>
        <w:ind w:left="360"/>
      </w:pPr>
    </w:p>
    <w:p w14:paraId="4560E9F1" w14:textId="6EDF8607" w:rsidR="002A14AA" w:rsidRDefault="002A14AA" w:rsidP="00D2319D">
      <w:pPr>
        <w:pStyle w:val="ListParagraph"/>
        <w:numPr>
          <w:ilvl w:val="0"/>
          <w:numId w:val="1"/>
        </w:numPr>
        <w:ind w:left="360"/>
      </w:pPr>
      <w:r>
        <w:t xml:space="preserve">To what extent is MDHD electrification dependent on domestic/international borders being electrified concurrently? </w:t>
      </w:r>
    </w:p>
    <w:p w14:paraId="48D8AC8A" w14:textId="77777777" w:rsidR="004643E5" w:rsidRDefault="004643E5" w:rsidP="00D2319D">
      <w:pPr>
        <w:pStyle w:val="ListParagraph"/>
        <w:ind w:left="360"/>
      </w:pPr>
    </w:p>
    <w:p w14:paraId="68C8343B" w14:textId="79AB2744" w:rsidR="00D00B63" w:rsidRDefault="3C7F89F0" w:rsidP="00D2319D">
      <w:pPr>
        <w:pStyle w:val="ListParagraph"/>
        <w:ind w:left="360"/>
      </w:pPr>
      <w:r w:rsidRPr="00D00B63">
        <w:rPr>
          <w:b/>
          <w:bCs/>
        </w:rPr>
        <w:t>Metro Response:</w:t>
      </w:r>
      <w:r w:rsidRPr="00743E48">
        <w:rPr>
          <w:b/>
          <w:bCs/>
          <w:color w:val="2B579A"/>
          <w:shd w:val="clear" w:color="auto" w:fill="E6E6E6"/>
        </w:rPr>
        <w:t xml:space="preserve"> </w:t>
      </w:r>
      <w:r>
        <w:t xml:space="preserve">International trade could significantly be impacted if </w:t>
      </w:r>
      <w:r w:rsidR="1C562EAB">
        <w:t>engine</w:t>
      </w:r>
      <w:r>
        <w:t xml:space="preserve"> technologies across </w:t>
      </w:r>
      <w:r w:rsidR="6417DFDD">
        <w:t xml:space="preserve">borders are inconsistent or incompatible with one another. </w:t>
      </w:r>
      <w:r w:rsidR="74FF7A35">
        <w:t xml:space="preserve"> Interborder freight and goods movement </w:t>
      </w:r>
      <w:r w:rsidR="74FF7A35">
        <w:lastRenderedPageBreak/>
        <w:t xml:space="preserve">planning frameworks need to be revisited </w:t>
      </w:r>
      <w:r w:rsidR="33E6F011">
        <w:t xml:space="preserve">to ensure </w:t>
      </w:r>
      <w:r w:rsidR="00D00B63">
        <w:t>least disruption</w:t>
      </w:r>
      <w:r w:rsidR="33E6F011">
        <w:t xml:space="preserve"> during a transition towards electrification</w:t>
      </w:r>
      <w:r w:rsidR="199FF90E">
        <w:t>. Vulnerabilities continue to exist beyond the capital improvements, specifically considering the variability of climate impacts,</w:t>
      </w:r>
      <w:r w:rsidR="37131EB6">
        <w:t xml:space="preserve"> standards, workforce, and other factors related to new electrification infrastructure. Impacts </w:t>
      </w:r>
      <w:r w:rsidR="10832D0D">
        <w:t>at the borders would have ramifications in both the upstream and downstream goods movement.</w:t>
      </w:r>
    </w:p>
    <w:p w14:paraId="5D36C411" w14:textId="77777777" w:rsidR="00D00B63" w:rsidRDefault="00D00B63" w:rsidP="00D2319D">
      <w:pPr>
        <w:pStyle w:val="ListParagraph"/>
        <w:ind w:left="360"/>
      </w:pPr>
    </w:p>
    <w:p w14:paraId="1ED36CA3" w14:textId="1C6E44BB" w:rsidR="002A14AA" w:rsidRDefault="002A14AA" w:rsidP="00D2319D">
      <w:pPr>
        <w:pStyle w:val="ListParagraph"/>
        <w:numPr>
          <w:ilvl w:val="0"/>
          <w:numId w:val="1"/>
        </w:numPr>
        <w:ind w:left="360"/>
      </w:pPr>
      <w:r>
        <w:t xml:space="preserve">If all the high priority corridors can’t be electrified simultaneously, what is the process for establishing a sequence of electrification while ensuring fleet needs are being addressed? How should issues like equity and air quality be used to establish the sequence of electrification? </w:t>
      </w:r>
    </w:p>
    <w:p w14:paraId="48D131BF" w14:textId="77777777" w:rsidR="004643E5" w:rsidRDefault="004643E5" w:rsidP="00D2319D">
      <w:pPr>
        <w:pStyle w:val="ListParagraph"/>
        <w:ind w:left="360"/>
      </w:pPr>
    </w:p>
    <w:p w14:paraId="0A444E85" w14:textId="77777777" w:rsidR="00D00B63" w:rsidRDefault="004643E5" w:rsidP="00D2319D">
      <w:pPr>
        <w:pStyle w:val="ListParagraph"/>
        <w:ind w:left="360"/>
      </w:pPr>
      <w:r w:rsidRPr="004643E5">
        <w:rPr>
          <w:b/>
          <w:bCs/>
        </w:rPr>
        <w:t>Metro response</w:t>
      </w:r>
      <w:r>
        <w:t xml:space="preserve">: For MDHD freight vehicles electrification needs, Metro suggests prioritizing the severity of air quality, magnitude of public health impacts, density of impacts, MDHD truck market segmentation and associated level of publicly accessible charging needs, impacts of ACF rule, and leveraging of existing </w:t>
      </w:r>
      <w:r w:rsidR="028530B0">
        <w:t xml:space="preserve">electrification </w:t>
      </w:r>
      <w:r>
        <w:t xml:space="preserve">efforts at the local level.  </w:t>
      </w:r>
    </w:p>
    <w:p w14:paraId="7DDAF023" w14:textId="77777777" w:rsidR="00D00B63" w:rsidRDefault="00D00B63" w:rsidP="00D2319D">
      <w:pPr>
        <w:pStyle w:val="ListParagraph"/>
        <w:ind w:left="360"/>
      </w:pPr>
    </w:p>
    <w:p w14:paraId="65549491" w14:textId="7984FC96" w:rsidR="00AD1ECD" w:rsidRDefault="004643E5" w:rsidP="00D2319D">
      <w:pPr>
        <w:pStyle w:val="ListParagraph"/>
        <w:ind w:left="360"/>
      </w:pPr>
      <w:r>
        <w:t>Through our engagement with drayage trucking industry, Metro learned that many drayage service providers are small businesses who currently lease overnight parking spaces for their trucks. If such businesses cannot secure overnight charging depots and access to opportunity charging during the daytime, these businesses will be severely impacted to remain in business. Losing them would mean a major disruption to the national supply chain network, and should be avoided</w:t>
      </w:r>
      <w:r w:rsidR="00AD1ECD">
        <w:t>, yet they are the subject of ACF Rule’s focus to transition to zero emission</w:t>
      </w:r>
      <w:r>
        <w:t>. In addition, many of these businesses are located in the disadvantaged communities along the I-710</w:t>
      </w:r>
      <w:r w:rsidR="00AD1ECD">
        <w:t>.</w:t>
      </w:r>
    </w:p>
    <w:p w14:paraId="1216B3FD" w14:textId="413AD3B2" w:rsidR="00E05ED2" w:rsidRDefault="00D3565B" w:rsidP="00D2319D">
      <w:pPr>
        <w:pStyle w:val="NoSpacing"/>
        <w:ind w:left="360"/>
        <w:rPr>
          <w:rFonts w:cstheme="minorHAnsi"/>
        </w:rPr>
      </w:pPr>
      <w:r w:rsidRPr="003A7EFE">
        <w:rPr>
          <w:rFonts w:cstheme="minorHAnsi"/>
        </w:rPr>
        <w:t xml:space="preserve">Also, </w:t>
      </w:r>
      <w:r w:rsidR="00FF1334" w:rsidRPr="003A7EFE">
        <w:rPr>
          <w:rFonts w:cstheme="minorHAnsi"/>
        </w:rPr>
        <w:t xml:space="preserve">Metro recognizes the need to prioritize </w:t>
      </w:r>
      <w:r w:rsidR="007551FF" w:rsidRPr="003A7EFE">
        <w:rPr>
          <w:rFonts w:cstheme="minorHAnsi"/>
        </w:rPr>
        <w:t xml:space="preserve">corridors </w:t>
      </w:r>
      <w:r w:rsidR="00A63216" w:rsidRPr="003A7EFE">
        <w:rPr>
          <w:rFonts w:cstheme="minorHAnsi"/>
        </w:rPr>
        <w:t xml:space="preserve">with </w:t>
      </w:r>
      <w:r w:rsidR="00AF37EA" w:rsidRPr="00743E48">
        <w:rPr>
          <w:rFonts w:cstheme="minorHAnsi"/>
        </w:rPr>
        <w:t xml:space="preserve">high </w:t>
      </w:r>
      <w:r w:rsidR="00A95566" w:rsidRPr="003A7EFE">
        <w:rPr>
          <w:rFonts w:cstheme="minorHAnsi"/>
        </w:rPr>
        <w:t>demand</w:t>
      </w:r>
      <w:r w:rsidR="00AF37EA" w:rsidRPr="00743E48">
        <w:rPr>
          <w:rFonts w:cstheme="minorHAnsi"/>
        </w:rPr>
        <w:t xml:space="preserve"> that have multi-jurisdictional </w:t>
      </w:r>
      <w:r w:rsidR="00A95566" w:rsidRPr="003A7EFE">
        <w:rPr>
          <w:rFonts w:cstheme="minorHAnsi"/>
        </w:rPr>
        <w:t>challenges</w:t>
      </w:r>
      <w:r w:rsidR="00AF37EA" w:rsidRPr="00743E48">
        <w:rPr>
          <w:rFonts w:cstheme="minorHAnsi"/>
        </w:rPr>
        <w:t xml:space="preserve"> (IOU and MOU interface), with significant upstream and downstream impacts during transition.</w:t>
      </w:r>
      <w:r w:rsidR="00A95566" w:rsidRPr="003A7EFE">
        <w:rPr>
          <w:rFonts w:cstheme="minorHAnsi"/>
        </w:rPr>
        <w:t xml:space="preserve">  </w:t>
      </w:r>
      <w:r w:rsidR="00AD2020">
        <w:rPr>
          <w:rFonts w:cstheme="minorHAnsi"/>
        </w:rPr>
        <w:t>Current d</w:t>
      </w:r>
      <w:r w:rsidR="003745E4">
        <w:rPr>
          <w:rFonts w:cstheme="minorHAnsi"/>
        </w:rPr>
        <w:t xml:space="preserve">iscussions surrounding freight </w:t>
      </w:r>
      <w:r w:rsidR="005F539B">
        <w:rPr>
          <w:rFonts w:cstheme="minorHAnsi"/>
        </w:rPr>
        <w:t xml:space="preserve">electrification </w:t>
      </w:r>
      <w:r w:rsidR="00AD2020">
        <w:rPr>
          <w:rFonts w:cstheme="minorHAnsi"/>
        </w:rPr>
        <w:t xml:space="preserve">focus on the end game, but </w:t>
      </w:r>
      <w:r w:rsidR="000A12AC" w:rsidRPr="00743E48">
        <w:rPr>
          <w:rFonts w:cstheme="minorHAnsi"/>
        </w:rPr>
        <w:t xml:space="preserve">the next phase of the prioritization </w:t>
      </w:r>
      <w:r w:rsidR="009C265A" w:rsidRPr="00CB76B3">
        <w:rPr>
          <w:rFonts w:cstheme="minorHAnsi"/>
        </w:rPr>
        <w:t>will focus on</w:t>
      </w:r>
      <w:r w:rsidR="000A12AC" w:rsidRPr="00743E48">
        <w:rPr>
          <w:rFonts w:cstheme="minorHAnsi"/>
        </w:rPr>
        <w:t xml:space="preserve"> what kind of charging infrastructure and what frequency of availability across those priority corridors during the transition. </w:t>
      </w:r>
      <w:r w:rsidR="00A77903">
        <w:rPr>
          <w:rFonts w:cstheme="minorHAnsi"/>
        </w:rPr>
        <w:t xml:space="preserve"> Because </w:t>
      </w:r>
      <w:r w:rsidR="000D0707">
        <w:rPr>
          <w:rFonts w:cstheme="minorHAnsi"/>
        </w:rPr>
        <w:t xml:space="preserve">TE users from the freight sector will not be </w:t>
      </w:r>
      <w:r w:rsidR="00EF4E1D">
        <w:rPr>
          <w:rFonts w:cstheme="minorHAnsi"/>
        </w:rPr>
        <w:t xml:space="preserve">controlled by </w:t>
      </w:r>
      <w:r w:rsidR="001B6197">
        <w:rPr>
          <w:rFonts w:cstheme="minorHAnsi"/>
        </w:rPr>
        <w:t>public agencies as with ZE buses,</w:t>
      </w:r>
      <w:r w:rsidR="001F5A1D">
        <w:rPr>
          <w:rFonts w:cstheme="minorHAnsi"/>
        </w:rPr>
        <w:t xml:space="preserve"> failure to address the </w:t>
      </w:r>
      <w:r w:rsidR="00CF5A34">
        <w:rPr>
          <w:rFonts w:cstheme="minorHAnsi"/>
        </w:rPr>
        <w:t xml:space="preserve">multi-jurisdictional challenges </w:t>
      </w:r>
      <w:r w:rsidR="00264A9D">
        <w:rPr>
          <w:rFonts w:cstheme="minorHAnsi"/>
        </w:rPr>
        <w:t xml:space="preserve">now </w:t>
      </w:r>
      <w:r w:rsidR="00E31CB3">
        <w:rPr>
          <w:rFonts w:cstheme="minorHAnsi"/>
        </w:rPr>
        <w:t xml:space="preserve">will </w:t>
      </w:r>
      <w:r w:rsidR="00240FC5">
        <w:rPr>
          <w:rFonts w:cstheme="minorHAnsi"/>
        </w:rPr>
        <w:t xml:space="preserve">hinder </w:t>
      </w:r>
      <w:r w:rsidR="00D81F12">
        <w:rPr>
          <w:rFonts w:cstheme="minorHAnsi"/>
        </w:rPr>
        <w:t xml:space="preserve">timely </w:t>
      </w:r>
      <w:r w:rsidR="005E5C78">
        <w:rPr>
          <w:rFonts w:cstheme="minorHAnsi"/>
        </w:rPr>
        <w:t xml:space="preserve">transition of MDHD freight vehicles to </w:t>
      </w:r>
      <w:r w:rsidR="00D81C47">
        <w:rPr>
          <w:rFonts w:cstheme="minorHAnsi"/>
        </w:rPr>
        <w:t>electrify.</w:t>
      </w:r>
    </w:p>
    <w:p w14:paraId="695933E5" w14:textId="77777777" w:rsidR="00D00B63" w:rsidRDefault="00D00B63" w:rsidP="00D2319D">
      <w:pPr>
        <w:pStyle w:val="NoSpacing"/>
        <w:ind w:left="360"/>
      </w:pPr>
    </w:p>
    <w:p w14:paraId="05E16B4B" w14:textId="13728D64" w:rsidR="00AD1ECD" w:rsidRDefault="00AD1ECD" w:rsidP="00D2319D">
      <w:pPr>
        <w:pStyle w:val="ListParagraph"/>
        <w:ind w:left="360"/>
      </w:pPr>
      <w:r>
        <w:t xml:space="preserve">LA County’s </w:t>
      </w:r>
      <w:proofErr w:type="gramStart"/>
      <w:r>
        <w:t>pubic</w:t>
      </w:r>
      <w:proofErr w:type="gramEnd"/>
      <w:r>
        <w:t xml:space="preserve"> agencies including the Ports of Los Angeles and Long Beach, South Coast Air Quality Management District, Caltrans District 7, Southern California Association of Governments and LA Metro have been collaborating over the years to advance clean goods movement. Collectively, LA County and Southern California have a wealth of experience in planning and implementing zero-emission pilot projects that can be leveraged and replicated. Metro recommends CPUC to consider building on existing practices and knowledge offered by LA County’s local agencies in developing viable sequence for electrification to achieve expeditious full buildout of the statewide priority corridors. </w:t>
      </w:r>
    </w:p>
    <w:p w14:paraId="5BA1275B" w14:textId="77777777" w:rsidR="00AD1ECD" w:rsidRDefault="00AD1ECD" w:rsidP="00D2319D">
      <w:pPr>
        <w:pStyle w:val="ListParagraph"/>
        <w:ind w:left="360"/>
      </w:pPr>
    </w:p>
    <w:p w14:paraId="19D95D09" w14:textId="791C9F39" w:rsidR="00AD1ECD" w:rsidRDefault="002A14AA" w:rsidP="00D2319D">
      <w:pPr>
        <w:pStyle w:val="ListParagraph"/>
        <w:numPr>
          <w:ilvl w:val="0"/>
          <w:numId w:val="1"/>
        </w:numPr>
        <w:ind w:left="360"/>
      </w:pPr>
      <w:r>
        <w:t xml:space="preserve">There is no planning process that identifies the long-term land acquisitions needed to upgrade existing substations or build new substations. What type of process is needed to identify long-term land acquisitions needs? </w:t>
      </w:r>
    </w:p>
    <w:p w14:paraId="1B3BA222" w14:textId="77777777" w:rsidR="00AD1ECD" w:rsidRDefault="00AD1ECD" w:rsidP="00D2319D">
      <w:pPr>
        <w:pStyle w:val="ListParagraph"/>
        <w:ind w:left="360"/>
      </w:pPr>
    </w:p>
    <w:p w14:paraId="709EF989" w14:textId="3E6C91AE" w:rsidR="3951C752" w:rsidRDefault="008D3A7A" w:rsidP="00D2319D">
      <w:pPr>
        <w:pStyle w:val="ListParagraph"/>
        <w:ind w:left="360"/>
      </w:pPr>
      <w:r w:rsidRPr="00D00B63">
        <w:rPr>
          <w:b/>
          <w:bCs/>
        </w:rPr>
        <w:lastRenderedPageBreak/>
        <w:t>Metro response:</w:t>
      </w:r>
      <w:r>
        <w:t xml:space="preserve"> Metro suggests </w:t>
      </w:r>
      <w:r w:rsidR="0043788B">
        <w:t xml:space="preserve">engaging IOUs and POUs who </w:t>
      </w:r>
      <w:r w:rsidR="00B72079">
        <w:t xml:space="preserve">directly deal with local land acquisition issues </w:t>
      </w:r>
      <w:r w:rsidR="0009195B">
        <w:t>and identify</w:t>
      </w:r>
      <w:r w:rsidR="006A76A6">
        <w:t xml:space="preserve"> processes that could be streamlined at the state level, and </w:t>
      </w:r>
      <w:r w:rsidR="00FC77D0">
        <w:t xml:space="preserve">prioritizing </w:t>
      </w:r>
      <w:r w:rsidR="007C76C1">
        <w:t>addressing multi-jurisdictional challenges</w:t>
      </w:r>
      <w:r w:rsidR="006A76A6">
        <w:t>.</w:t>
      </w:r>
    </w:p>
    <w:p w14:paraId="1D452B4E" w14:textId="43C29397" w:rsidR="5163AAF2" w:rsidRDefault="5163AAF2" w:rsidP="00D2319D">
      <w:pPr>
        <w:pStyle w:val="ListParagraph"/>
        <w:ind w:left="360"/>
      </w:pPr>
    </w:p>
    <w:p w14:paraId="7C4F8CED" w14:textId="6B5C55E3" w:rsidR="00AD1ECD" w:rsidRDefault="002A14AA" w:rsidP="00D2319D">
      <w:pPr>
        <w:pStyle w:val="ListParagraph"/>
        <w:numPr>
          <w:ilvl w:val="0"/>
          <w:numId w:val="1"/>
        </w:numPr>
        <w:ind w:left="360"/>
      </w:pPr>
      <w:r>
        <w:t>Now that electricity will be used to decarbonize MDHD, how does this change the definition of electric reliability and resiliency that the CPUC uses for system and distribution planning? Specifically, does the current expectations for reliable electrical service change when you factor in the needs of the freight industry?</w:t>
      </w:r>
    </w:p>
    <w:p w14:paraId="3112A6AE" w14:textId="77777777" w:rsidR="00481243" w:rsidRDefault="00481243" w:rsidP="00D2319D">
      <w:pPr>
        <w:pStyle w:val="ListParagraph"/>
        <w:ind w:left="360"/>
      </w:pPr>
    </w:p>
    <w:p w14:paraId="522D5B41" w14:textId="7AFA0899" w:rsidR="00481243" w:rsidRDefault="00481243" w:rsidP="00D2319D">
      <w:pPr>
        <w:pStyle w:val="ListParagraph"/>
        <w:ind w:left="360"/>
      </w:pPr>
      <w:r w:rsidRPr="00481243">
        <w:rPr>
          <w:b/>
          <w:bCs/>
        </w:rPr>
        <w:t>Metro response</w:t>
      </w:r>
      <w:r w:rsidRPr="00D00B63">
        <w:t xml:space="preserve">: </w:t>
      </w:r>
      <w:proofErr w:type="gramStart"/>
      <w:r w:rsidR="3A7EE6C5" w:rsidRPr="00D00B63">
        <w:t>New</w:t>
      </w:r>
      <w:proofErr w:type="gramEnd"/>
      <w:r w:rsidR="3A7EE6C5" w:rsidRPr="00D00B63">
        <w:t xml:space="preserve"> vulnerabilities are introduced to definition of electric reliability and resiliency</w:t>
      </w:r>
      <w:r w:rsidR="261A5404" w:rsidRPr="00D00B63">
        <w:t>, e.g.,</w:t>
      </w:r>
      <w:r w:rsidR="3A7EE6C5" w:rsidRPr="00D00B63">
        <w:t xml:space="preserve"> workforce and their development, safety and security, maintenance of infrastructure and benefits, environmental impacts (due to new infrastructures), etc.</w:t>
      </w:r>
      <w:r w:rsidR="3A7EE6C5" w:rsidRPr="5163AAF2">
        <w:t xml:space="preserve"> </w:t>
      </w:r>
      <w:r w:rsidR="1C7955E1" w:rsidRPr="5163AAF2">
        <w:t xml:space="preserve"> Also, </w:t>
      </w:r>
      <w:r w:rsidR="0986BF37">
        <w:t>a</w:t>
      </w:r>
      <w:r>
        <w:t xml:space="preserve">s noted in Metro response to question 2, MDHD truck needs for daytime and overnight charging are anticipated to be vastly different from general purpose vehicles given their business and operational needs. Metro commends CPUC for acknowledging these factors and taking proactive </w:t>
      </w:r>
      <w:r w:rsidR="005C4807">
        <w:t>measures</w:t>
      </w:r>
      <w:r>
        <w:t xml:space="preserve"> to understand their needs accurately and reflect them accurately in the FIP.  </w:t>
      </w:r>
    </w:p>
    <w:p w14:paraId="080F9D2B" w14:textId="77777777" w:rsidR="00481243" w:rsidRDefault="00481243" w:rsidP="00D2319D">
      <w:pPr>
        <w:pStyle w:val="ListParagraph"/>
        <w:ind w:left="360"/>
      </w:pPr>
    </w:p>
    <w:p w14:paraId="29642AD3" w14:textId="433495C3" w:rsidR="00AD4BA4" w:rsidRDefault="00AD4BA4" w:rsidP="00D2319D">
      <w:pPr>
        <w:pStyle w:val="ListParagraph"/>
        <w:numPr>
          <w:ilvl w:val="0"/>
          <w:numId w:val="1"/>
        </w:numPr>
        <w:ind w:left="360"/>
      </w:pPr>
      <w:r>
        <w:t xml:space="preserve">There are significant interactive effects between transportation electrification, building electrification, electric sector decarbonization, grid hardening, and affordability that are currently not being captured in planning. What additional process is needed to ensure that FIP captures these interactive effects and the potential tradeoffs that need to be considered? </w:t>
      </w:r>
    </w:p>
    <w:p w14:paraId="15A825A0" w14:textId="0EA03731" w:rsidR="3ABDD620" w:rsidRDefault="55F51BA9" w:rsidP="00D2319D">
      <w:pPr>
        <w:ind w:left="360"/>
      </w:pPr>
      <w:r w:rsidRPr="3ABDD620">
        <w:rPr>
          <w:b/>
          <w:bCs/>
        </w:rPr>
        <w:t xml:space="preserve">Metro response: </w:t>
      </w:r>
      <w:r w:rsidR="615440D4" w:rsidRPr="005C4807">
        <w:t>Each of the sectors mentioned are already doing their fair share of electrification planning. The complexity lies in the differing phases, standards, and end goals.</w:t>
      </w:r>
      <w:r w:rsidR="615440D4" w:rsidRPr="0033507B">
        <w:rPr>
          <w:color w:val="2B579A"/>
          <w:shd w:val="clear" w:color="auto" w:fill="E6E6E6"/>
        </w:rPr>
        <w:t xml:space="preserve"> </w:t>
      </w:r>
      <w:r w:rsidR="4CEFAE13" w:rsidRPr="5163AAF2">
        <w:t xml:space="preserve">For example, </w:t>
      </w:r>
      <w:r w:rsidR="62C37FB0">
        <w:t>m</w:t>
      </w:r>
      <w:r>
        <w:t>any logistics facility operators are moving forward with decarbonization of logistics facilities</w:t>
      </w:r>
      <w:r w:rsidR="73E1BEB7">
        <w:t xml:space="preserve"> I.e., warehouses</w:t>
      </w:r>
      <w:r w:rsidR="4351F7E6">
        <w:t xml:space="preserve"> and</w:t>
      </w:r>
      <w:r w:rsidR="73E1BEB7">
        <w:t xml:space="preserve"> transloading facilities, through electrification.  </w:t>
      </w:r>
      <w:r w:rsidR="2C998AEB">
        <w:t xml:space="preserve">Understanding their </w:t>
      </w:r>
      <w:r w:rsidR="2C4220AC">
        <w:t>end goals and</w:t>
      </w:r>
      <w:r w:rsidR="2C998AEB">
        <w:t xml:space="preserve"> anticipated demand would be an important input to the demand forecast.  </w:t>
      </w:r>
      <w:r w:rsidR="22711F7D">
        <w:t xml:space="preserve">There are representatives from logistics industry at the Caltrans California Freight Advisory Committee who may be able to offer whom CPUC may contact to </w:t>
      </w:r>
      <w:r w:rsidR="5CC6F659">
        <w:t xml:space="preserve">gather information on the logistics building electrification.  Potential other sources may be </w:t>
      </w:r>
      <w:r w:rsidR="7A82FDB1">
        <w:t xml:space="preserve">multinational commercial real estate companies like </w:t>
      </w:r>
      <w:r w:rsidR="5CC6F659">
        <w:t>JLL</w:t>
      </w:r>
      <w:r w:rsidR="7FDCE2E3">
        <w:t>, who also conduct industrial real estate trend analysis</w:t>
      </w:r>
      <w:r w:rsidR="00905434">
        <w:t xml:space="preserve">, including </w:t>
      </w:r>
      <w:r w:rsidR="00BD42CD">
        <w:t xml:space="preserve">industrial </w:t>
      </w:r>
      <w:r w:rsidR="00E33DA0">
        <w:t>facility electrifications</w:t>
      </w:r>
      <w:r w:rsidR="7FDCE2E3">
        <w:t xml:space="preserve">.  </w:t>
      </w:r>
    </w:p>
    <w:p w14:paraId="06E65D08" w14:textId="7E2425EA" w:rsidR="64806F79" w:rsidRPr="005C4807" w:rsidRDefault="64806F79" w:rsidP="00D2319D">
      <w:pPr>
        <w:ind w:left="360"/>
      </w:pPr>
      <w:r>
        <w:t>In addition, the FIP process should fully consider t</w:t>
      </w:r>
      <w:r w:rsidR="4800449D">
        <w:t xml:space="preserve">he implications </w:t>
      </w:r>
      <w:r w:rsidR="4800449D" w:rsidRPr="005C4807">
        <w:t xml:space="preserve">of on-stationarity of underlying climate related empirical information and the dynamic nature of such impacts over time.  Community needs, environmental impacts </w:t>
      </w:r>
      <w:r w:rsidR="0277C744" w:rsidRPr="005C4807">
        <w:t>through</w:t>
      </w:r>
      <w:r w:rsidR="4800449D" w:rsidRPr="005C4807">
        <w:t xml:space="preserve"> asset </w:t>
      </w:r>
      <w:proofErr w:type="gramStart"/>
      <w:r w:rsidR="4800449D" w:rsidRPr="005C4807">
        <w:t>life-cycle</w:t>
      </w:r>
      <w:proofErr w:type="gramEnd"/>
      <w:r w:rsidR="4800449D" w:rsidRPr="005C4807">
        <w:t xml:space="preserve">, and materials sourcing are </w:t>
      </w:r>
      <w:r w:rsidR="46D8E881" w:rsidRPr="005C4807">
        <w:t>additional</w:t>
      </w:r>
      <w:r w:rsidR="4800449D" w:rsidRPr="005C4807">
        <w:t xml:space="preserve"> considerations.</w:t>
      </w:r>
    </w:p>
    <w:p w14:paraId="5AB31CFB" w14:textId="4CB249AC" w:rsidR="00AD4BA4" w:rsidRDefault="00AD4BA4" w:rsidP="00D2319D">
      <w:pPr>
        <w:pStyle w:val="ListParagraph"/>
        <w:numPr>
          <w:ilvl w:val="0"/>
          <w:numId w:val="1"/>
        </w:numPr>
        <w:ind w:left="360"/>
      </w:pPr>
      <w:r>
        <w:t xml:space="preserve">How should climate adaptation strategies be integrated into the FIP framework and associated inputs? What process alignment with other proceedings, initiatives, studies is needed to ensure that climate adaptation strategies are considered in a coordinated manner within FIP and across proceedings/sister agencies? </w:t>
      </w:r>
    </w:p>
    <w:p w14:paraId="7A488F67" w14:textId="77777777" w:rsidR="00B16B6D" w:rsidRDefault="00B16B6D" w:rsidP="00D2319D">
      <w:pPr>
        <w:pStyle w:val="ListParagraph"/>
        <w:ind w:left="360"/>
      </w:pPr>
    </w:p>
    <w:p w14:paraId="2B112EE1" w14:textId="5FD93813" w:rsidR="00B16B6D" w:rsidRDefault="000364D6" w:rsidP="00D2319D">
      <w:pPr>
        <w:pStyle w:val="ListParagraph"/>
        <w:ind w:left="360"/>
      </w:pPr>
      <w:r w:rsidRPr="005E7B5B">
        <w:rPr>
          <w:b/>
          <w:bCs/>
        </w:rPr>
        <w:lastRenderedPageBreak/>
        <w:t>Metro response</w:t>
      </w:r>
      <w:r>
        <w:t xml:space="preserve">: </w:t>
      </w:r>
      <w:r w:rsidR="00DF4E1F">
        <w:t xml:space="preserve">Metro recommends that the FIP framework </w:t>
      </w:r>
      <w:r w:rsidR="00A97090">
        <w:t xml:space="preserve">considers climate impacts at the source of energy generation </w:t>
      </w:r>
      <w:r w:rsidR="00010BD7">
        <w:t xml:space="preserve">so as not to offset </w:t>
      </w:r>
      <w:r w:rsidR="00D922F2">
        <w:t xml:space="preserve">the carbon emissions associated with the state’s TE to other parts of the Country.  </w:t>
      </w:r>
    </w:p>
    <w:p w14:paraId="08B3B896" w14:textId="77777777" w:rsidR="005E7B5B" w:rsidRDefault="005E7B5B" w:rsidP="00D2319D">
      <w:pPr>
        <w:pStyle w:val="ListParagraph"/>
        <w:ind w:left="360"/>
      </w:pPr>
    </w:p>
    <w:p w14:paraId="7DEAF21F" w14:textId="1DB3717C" w:rsidR="005E7B5B" w:rsidRDefault="00AD4BA4" w:rsidP="00D2319D">
      <w:pPr>
        <w:pStyle w:val="ListParagraph"/>
        <w:numPr>
          <w:ilvl w:val="0"/>
          <w:numId w:val="1"/>
        </w:numPr>
        <w:ind w:left="360"/>
      </w:pPr>
      <w:r>
        <w:t xml:space="preserve">Do you agree with the reforms that staff outlined on slides 26 and 27? What additional reforms beyond what staff proposed will be needed to appropriately plan for LDV DCFC and hydrogen refueling? Please provide a description and justification for any additional reforms. </w:t>
      </w:r>
    </w:p>
    <w:p w14:paraId="6BA986A5" w14:textId="41C345E2" w:rsidR="00FE0114" w:rsidRDefault="00701C83" w:rsidP="00D2319D">
      <w:pPr>
        <w:ind w:left="360"/>
      </w:pPr>
      <w:r w:rsidRPr="0033507B">
        <w:rPr>
          <w:b/>
          <w:bCs/>
        </w:rPr>
        <w:t>Metro Response</w:t>
      </w:r>
      <w:r>
        <w:t xml:space="preserve">: </w:t>
      </w:r>
      <w:r w:rsidR="004D02FB">
        <w:t xml:space="preserve">Metro </w:t>
      </w:r>
      <w:r w:rsidR="00055D29">
        <w:t xml:space="preserve">commends the proposed reforms, and in doing so, suggests </w:t>
      </w:r>
      <w:r w:rsidR="003B47A9">
        <w:t xml:space="preserve">building </w:t>
      </w:r>
      <w:r w:rsidR="00157FA3">
        <w:t xml:space="preserve">mechanisms </w:t>
      </w:r>
      <w:r w:rsidR="00F14762">
        <w:t xml:space="preserve">to ensure </w:t>
      </w:r>
      <w:r w:rsidR="00D025C4">
        <w:t>local ex</w:t>
      </w:r>
      <w:r w:rsidR="002C50E5">
        <w:t>pertise fro</w:t>
      </w:r>
      <w:r w:rsidR="003640DE">
        <w:t>m IOUs</w:t>
      </w:r>
      <w:r w:rsidR="00F16078">
        <w:t xml:space="preserve">, transportation agencies, and freight industry </w:t>
      </w:r>
      <w:r w:rsidR="00D4440B">
        <w:t xml:space="preserve">will be </w:t>
      </w:r>
      <w:r w:rsidR="008B30E3">
        <w:t xml:space="preserve">provided </w:t>
      </w:r>
      <w:r w:rsidR="00A3498D">
        <w:t>regularly</w:t>
      </w:r>
      <w:r w:rsidR="00A829EA">
        <w:t xml:space="preserve">, and that </w:t>
      </w:r>
      <w:r w:rsidR="00055D29">
        <w:t xml:space="preserve">all </w:t>
      </w:r>
      <w:r w:rsidR="001527F1">
        <w:t xml:space="preserve">affected agencies to </w:t>
      </w:r>
      <w:r w:rsidR="004A769C">
        <w:t xml:space="preserve">consider </w:t>
      </w:r>
      <w:r w:rsidR="00696BFB">
        <w:t xml:space="preserve">the complicated and complex set of issues that result from each of the recommended reforms to minimize unintended consequences.  </w:t>
      </w:r>
    </w:p>
    <w:p w14:paraId="164D8F1E" w14:textId="75224931" w:rsidR="00AD4BA4" w:rsidRDefault="00AD4BA4" w:rsidP="00D2319D">
      <w:pPr>
        <w:pStyle w:val="ListParagraph"/>
        <w:numPr>
          <w:ilvl w:val="0"/>
          <w:numId w:val="1"/>
        </w:numPr>
        <w:ind w:left="360"/>
      </w:pPr>
      <w:r>
        <w:t xml:space="preserve">What steps can be taken to ensure that the proposed reforms capture potential intra- and inter-agency synergies while also avoiding duplicating existing or proposed processes? </w:t>
      </w:r>
    </w:p>
    <w:p w14:paraId="354829CF" w14:textId="77777777" w:rsidR="00FE0114" w:rsidRDefault="00FE0114" w:rsidP="00D2319D">
      <w:pPr>
        <w:pStyle w:val="ListParagraph"/>
        <w:ind w:left="360"/>
      </w:pPr>
    </w:p>
    <w:p w14:paraId="4E13B538" w14:textId="5A41B74A" w:rsidR="005C4807" w:rsidRDefault="00AD4BA4" w:rsidP="00D2319D">
      <w:pPr>
        <w:pStyle w:val="ListParagraph"/>
        <w:numPr>
          <w:ilvl w:val="0"/>
          <w:numId w:val="1"/>
        </w:numPr>
        <w:ind w:left="360"/>
      </w:pPr>
      <w:r>
        <w:t xml:space="preserve">What steps can be taken to ensure that the proposed reforms don’t duplicate existing or proposed IOU processes? </w:t>
      </w:r>
    </w:p>
    <w:p w14:paraId="6D33D299" w14:textId="77777777" w:rsidR="005C4807" w:rsidRDefault="005C4807" w:rsidP="00D2319D">
      <w:pPr>
        <w:pStyle w:val="ListParagraph"/>
        <w:ind w:left="360"/>
      </w:pPr>
    </w:p>
    <w:p w14:paraId="49E888EC" w14:textId="40954C65" w:rsidR="00351544" w:rsidRDefault="00AD4BA4" w:rsidP="00D2319D">
      <w:pPr>
        <w:pStyle w:val="ListParagraph"/>
        <w:numPr>
          <w:ilvl w:val="0"/>
          <w:numId w:val="1"/>
        </w:numPr>
        <w:ind w:left="360"/>
      </w:pPr>
      <w:r>
        <w:t xml:space="preserve">Caltrans and the CTC have their own established state transportation planning processes (e.g., SB 671 assessment). What process alignment is required to align CPUC/CEC and CTC/Caltrans TE-related forecasting and planning efforts? </w:t>
      </w:r>
    </w:p>
    <w:p w14:paraId="17C55483" w14:textId="77777777" w:rsidR="003810CA" w:rsidRDefault="00351544" w:rsidP="00D2319D">
      <w:pPr>
        <w:ind w:left="360"/>
      </w:pPr>
      <w:r w:rsidRPr="0033507B">
        <w:rPr>
          <w:b/>
          <w:bCs/>
        </w:rPr>
        <w:t>Metro response</w:t>
      </w:r>
      <w:r>
        <w:t xml:space="preserve">: </w:t>
      </w:r>
      <w:r w:rsidR="00502A61">
        <w:t xml:space="preserve">Coordinating and collaborating with CTC/Caltrans is another way to access </w:t>
      </w:r>
      <w:r w:rsidR="008F7719">
        <w:t>on-going</w:t>
      </w:r>
      <w:r w:rsidR="00BB7B4C">
        <w:t xml:space="preserve"> transportation planning and project delivery</w:t>
      </w:r>
      <w:r w:rsidR="008F7719">
        <w:t xml:space="preserve"> efforts that are taking place at the local level</w:t>
      </w:r>
      <w:r w:rsidR="0088060A">
        <w:t xml:space="preserve"> as CTC and Caltrans collaborate with local agencies regularly</w:t>
      </w:r>
      <w:r w:rsidR="00380283">
        <w:t xml:space="preserve">.  </w:t>
      </w:r>
    </w:p>
    <w:p w14:paraId="70A6CBE2" w14:textId="4BC32092" w:rsidR="00351544" w:rsidRDefault="00614A8A" w:rsidP="00D2319D">
      <w:pPr>
        <w:ind w:left="360"/>
      </w:pPr>
      <w:r>
        <w:t>CTC programs various state transportation funding</w:t>
      </w:r>
      <w:r w:rsidR="009D0FDF">
        <w:t xml:space="preserve">, and increasingly </w:t>
      </w:r>
      <w:r w:rsidR="007875C0">
        <w:t>there are funding opportunities</w:t>
      </w:r>
      <w:r w:rsidR="00D6339C">
        <w:t xml:space="preserve"> for local </w:t>
      </w:r>
      <w:r w:rsidR="005652E6">
        <w:t>transportation agencies</w:t>
      </w:r>
      <w:r w:rsidR="007875C0">
        <w:t xml:space="preserve"> that are aimed </w:t>
      </w:r>
      <w:r w:rsidR="00297FC9">
        <w:t xml:space="preserve">at </w:t>
      </w:r>
      <w:r w:rsidR="008D32C9">
        <w:t>supporting TE</w:t>
      </w:r>
      <w:r w:rsidR="00C22715">
        <w:t xml:space="preserve"> and </w:t>
      </w:r>
      <w:r w:rsidR="004A2318">
        <w:t xml:space="preserve">local transportation climate </w:t>
      </w:r>
      <w:r w:rsidR="00677D8C">
        <w:t>adaptation</w:t>
      </w:r>
      <w:r w:rsidR="008D32C9">
        <w:t xml:space="preserve">.  </w:t>
      </w:r>
      <w:r w:rsidR="00380283">
        <w:t xml:space="preserve">Metro recommends </w:t>
      </w:r>
      <w:r w:rsidR="00A33162">
        <w:t xml:space="preserve">CPUC/CEC to </w:t>
      </w:r>
      <w:r w:rsidR="0025109C">
        <w:t xml:space="preserve">increase the level of collaboration with CTC/Caltrans </w:t>
      </w:r>
      <w:r w:rsidR="001748CC">
        <w:t xml:space="preserve">to be familiar with </w:t>
      </w:r>
      <w:r w:rsidR="003A1EC6">
        <w:t xml:space="preserve">efforts led by local agencies, </w:t>
      </w:r>
      <w:r w:rsidR="00C3148A">
        <w:t>and challenges they face in advancing TE</w:t>
      </w:r>
      <w:r w:rsidR="0057203D">
        <w:t xml:space="preserve">, as well as </w:t>
      </w:r>
      <w:r w:rsidR="00365CD9">
        <w:t xml:space="preserve">streamlining funding opportunities and </w:t>
      </w:r>
      <w:r w:rsidR="00A428DE">
        <w:t>their timing</w:t>
      </w:r>
      <w:r w:rsidR="006305AC">
        <w:t xml:space="preserve"> across CPUC, CEC,</w:t>
      </w:r>
      <w:r w:rsidR="00BD6FC5">
        <w:t xml:space="preserve"> and CTC.  </w:t>
      </w:r>
    </w:p>
    <w:p w14:paraId="238D98CB" w14:textId="44DDCB2A" w:rsidR="00BD6FC5" w:rsidRDefault="00BD6FC5" w:rsidP="00D2319D">
      <w:pPr>
        <w:ind w:left="360"/>
      </w:pPr>
      <w:r>
        <w:t xml:space="preserve">In doing so, Metro </w:t>
      </w:r>
      <w:r w:rsidR="005926FE">
        <w:t xml:space="preserve">suggests </w:t>
      </w:r>
      <w:r w:rsidR="00390BB9">
        <w:t xml:space="preserve">all </w:t>
      </w:r>
      <w:r w:rsidR="00895F14">
        <w:t>state</w:t>
      </w:r>
      <w:r w:rsidR="005B6697">
        <w:t xml:space="preserve"> lead</w:t>
      </w:r>
      <w:r w:rsidR="00390BB9">
        <w:t xml:space="preserve"> agencies </w:t>
      </w:r>
      <w:r w:rsidR="00D31A09">
        <w:t>consider</w:t>
      </w:r>
      <w:r w:rsidR="00390BB9">
        <w:t xml:space="preserve"> </w:t>
      </w:r>
      <w:r w:rsidR="00D044C0">
        <w:t xml:space="preserve">potential issues that result from </w:t>
      </w:r>
      <w:r w:rsidR="00467E14">
        <w:t xml:space="preserve">such collaborations to avoid unintended consequences.  </w:t>
      </w:r>
    </w:p>
    <w:p w14:paraId="6EDD4AFB" w14:textId="77777777" w:rsidR="00BC177E" w:rsidRDefault="00BC177E" w:rsidP="00D2319D">
      <w:pPr>
        <w:pStyle w:val="ListParagraph"/>
        <w:ind w:left="360"/>
      </w:pPr>
    </w:p>
    <w:p w14:paraId="5CF01313" w14:textId="08097FDF" w:rsidR="002A14AA" w:rsidRDefault="00AD4BA4" w:rsidP="00D2319D">
      <w:pPr>
        <w:pStyle w:val="ListParagraph"/>
        <w:numPr>
          <w:ilvl w:val="0"/>
          <w:numId w:val="1"/>
        </w:numPr>
        <w:ind w:left="360"/>
      </w:pPr>
      <w:r>
        <w:t>The CEC’s IEPR TE demand forecast does not consider whether the electrical infrastructure needed to support TE adoption will be available per the compliance timelines stipulated in the ACF. To what extent should the IEPR process consider input from a grid readiness assessment developed in FIP that highlights potential infrastructure timing delays and other related uncertainties?</w:t>
      </w:r>
    </w:p>
    <w:p w14:paraId="5AA5C105" w14:textId="77777777" w:rsidR="00C662FF" w:rsidRDefault="00C662FF" w:rsidP="00D2319D">
      <w:pPr>
        <w:pStyle w:val="ListParagraph"/>
        <w:ind w:left="360"/>
      </w:pPr>
    </w:p>
    <w:p w14:paraId="71863A55" w14:textId="09DA4366" w:rsidR="00BE536E" w:rsidRDefault="00C662FF" w:rsidP="00D2319D">
      <w:pPr>
        <w:pStyle w:val="ListParagraph"/>
        <w:ind w:left="360"/>
      </w:pPr>
      <w:r w:rsidRPr="00BE536E">
        <w:rPr>
          <w:b/>
          <w:bCs/>
        </w:rPr>
        <w:t>Metro response:</w:t>
      </w:r>
      <w:r>
        <w:t xml:space="preserve"> </w:t>
      </w:r>
      <w:r w:rsidR="00D63917">
        <w:t>Challenges in</w:t>
      </w:r>
      <w:r w:rsidR="00AF6E5A">
        <w:t xml:space="preserve"> deploying infrastructure </w:t>
      </w:r>
      <w:r w:rsidR="00D63917">
        <w:t xml:space="preserve">to support the ACF goals </w:t>
      </w:r>
      <w:r w:rsidR="0098188D">
        <w:t xml:space="preserve">and its timelines have been </w:t>
      </w:r>
      <w:r w:rsidR="000E410B">
        <w:t xml:space="preserve">voiced by many stakeholders including local agencies and </w:t>
      </w:r>
      <w:r w:rsidR="00E94EBB">
        <w:t>IOUs</w:t>
      </w:r>
      <w:r w:rsidR="000E410B">
        <w:t xml:space="preserve">.  It is not just </w:t>
      </w:r>
      <w:r w:rsidR="00C248BB">
        <w:t xml:space="preserve">a grid readiness that </w:t>
      </w:r>
      <w:r w:rsidR="00C248BB">
        <w:lastRenderedPageBreak/>
        <w:t xml:space="preserve">hinders the timely deployment of the infrastructure. </w:t>
      </w:r>
      <w:r w:rsidR="00020D5C">
        <w:t xml:space="preserve"> There are other issues such as </w:t>
      </w:r>
      <w:r w:rsidR="00431D09">
        <w:t xml:space="preserve">land acquisition, cost of land acquisition, </w:t>
      </w:r>
      <w:r w:rsidR="00855062">
        <w:t xml:space="preserve">number of permits required to deploy infrastructure, </w:t>
      </w:r>
      <w:r w:rsidR="00A21371">
        <w:t>misalignment of permitting processes and environmental clearance processes</w:t>
      </w:r>
      <w:r w:rsidR="002153E7">
        <w:t xml:space="preserve">, and </w:t>
      </w:r>
      <w:r w:rsidR="00BE536E">
        <w:t>funding opportunities</w:t>
      </w:r>
      <w:r w:rsidR="00A21371">
        <w:t xml:space="preserve">.  </w:t>
      </w:r>
      <w:r w:rsidR="007F02BE">
        <w:t xml:space="preserve">Acknowledging all these challenges that need to be addressed </w:t>
      </w:r>
      <w:r w:rsidR="00270DF3">
        <w:t xml:space="preserve">and the partnership </w:t>
      </w:r>
      <w:r w:rsidR="00962AD3">
        <w:t xml:space="preserve">across all relevant state agencies </w:t>
      </w:r>
      <w:r w:rsidR="007F02BE">
        <w:t xml:space="preserve">in order to accelerate the infrastructure deployment is a great first step as demonstrated by the CPUC FIP workshop.  </w:t>
      </w:r>
      <w:r w:rsidR="00962AD3">
        <w:t xml:space="preserve">Metro suggests including local </w:t>
      </w:r>
      <w:r w:rsidR="003E2E15">
        <w:t xml:space="preserve">transportation agencies, </w:t>
      </w:r>
      <w:proofErr w:type="gramStart"/>
      <w:r w:rsidR="003E2E15">
        <w:t>ports</w:t>
      </w:r>
      <w:proofErr w:type="gramEnd"/>
      <w:r w:rsidR="003E2E15">
        <w:t xml:space="preserve"> and air quality management districts in the </w:t>
      </w:r>
      <w:r w:rsidR="00755A3D">
        <w:t xml:space="preserve">coalition to realize the timely deployment of needed infrastructure.  </w:t>
      </w:r>
    </w:p>
    <w:p w14:paraId="24055C64" w14:textId="77777777" w:rsidR="00BE536E" w:rsidRDefault="00BE536E" w:rsidP="00D2319D">
      <w:pPr>
        <w:pStyle w:val="ListParagraph"/>
        <w:ind w:left="360"/>
      </w:pPr>
    </w:p>
    <w:p w14:paraId="33DAFD3F" w14:textId="77777777" w:rsidR="000957C9" w:rsidRDefault="004E40BE" w:rsidP="00D2319D">
      <w:pPr>
        <w:pStyle w:val="ListParagraph"/>
        <w:numPr>
          <w:ilvl w:val="0"/>
          <w:numId w:val="1"/>
        </w:numPr>
        <w:ind w:left="360"/>
      </w:pPr>
      <w:r>
        <w:t xml:space="preserve">To what extent is the IEPR MDHD load bus allocation (see slide 59), even with an AATE scenario that captures more uncertainty about the geography of charging load, appropriate for MDHD-related distribution planning? </w:t>
      </w:r>
    </w:p>
    <w:p w14:paraId="63C4289C" w14:textId="77777777" w:rsidR="000957C9" w:rsidRDefault="000957C9" w:rsidP="00D2319D">
      <w:pPr>
        <w:pStyle w:val="ListParagraph"/>
        <w:ind w:left="360"/>
      </w:pPr>
    </w:p>
    <w:p w14:paraId="57626266" w14:textId="4BFAE591" w:rsidR="000957C9" w:rsidRDefault="004E40BE" w:rsidP="00D2319D">
      <w:pPr>
        <w:pStyle w:val="ListParagraph"/>
        <w:numPr>
          <w:ilvl w:val="0"/>
          <w:numId w:val="1"/>
        </w:numPr>
        <w:ind w:left="360"/>
      </w:pPr>
      <w:r>
        <w:t xml:space="preserve">How should the IOUs' bottom-up determination of MDHD load inform the development of the CEC's top-down statewide MDHD forecast and load bus allocation? </w:t>
      </w:r>
    </w:p>
    <w:p w14:paraId="55E55411" w14:textId="77777777" w:rsidR="000957C9" w:rsidRDefault="000957C9" w:rsidP="00D2319D">
      <w:pPr>
        <w:pStyle w:val="ListParagraph"/>
        <w:ind w:left="360"/>
      </w:pPr>
    </w:p>
    <w:p w14:paraId="46591ED5" w14:textId="7345C00B" w:rsidR="00BB77C3" w:rsidRDefault="004E40BE" w:rsidP="00D2319D">
      <w:pPr>
        <w:pStyle w:val="ListParagraph"/>
        <w:numPr>
          <w:ilvl w:val="0"/>
          <w:numId w:val="1"/>
        </w:numPr>
        <w:ind w:left="360"/>
      </w:pPr>
      <w:r>
        <w:t xml:space="preserve">How should the FIP scope, purpose, outputs, and timing be incorporated into utility DPPs and GNA/DDOR filings? </w:t>
      </w:r>
    </w:p>
    <w:p w14:paraId="45BCD162" w14:textId="77777777" w:rsidR="004E40BE" w:rsidRDefault="004E40BE" w:rsidP="00D2319D">
      <w:pPr>
        <w:ind w:left="360"/>
      </w:pPr>
      <w:r>
        <w:t xml:space="preserve">a) Could FIP inform DPP policy scenarios by developing optimal MDHD charging zones (see Reform 3) and provide them as an input to DPP? </w:t>
      </w:r>
    </w:p>
    <w:p w14:paraId="210A3E56" w14:textId="77777777" w:rsidR="004E40BE" w:rsidRDefault="004E40BE" w:rsidP="00D2319D">
      <w:pPr>
        <w:ind w:left="360"/>
      </w:pPr>
      <w:r>
        <w:t xml:space="preserve">b) Could common TE inputs and assumptions established under FIP be used in distribution planning? Would this ensure that distribution planning results flowing into the GNA/DDOR filings could be more easily justified as investment-grade policy-driven needs? </w:t>
      </w:r>
    </w:p>
    <w:p w14:paraId="62C90D6D" w14:textId="77777777" w:rsidR="002E7555" w:rsidRDefault="004E40BE" w:rsidP="00D2319D">
      <w:pPr>
        <w:ind w:left="360"/>
      </w:pPr>
      <w:r>
        <w:t xml:space="preserve">c) Slide 34 (box #1) identifies DPP as the source for the cost and timing of conceptual distribution upgrades needed to provide electrical service to the optimal charging zones identified in the FIP process. What changes would need to occur in the IOUs' distribution planning for a 15-year planning horizon given the load growth post-2040? </w:t>
      </w:r>
    </w:p>
    <w:p w14:paraId="49232293" w14:textId="77777777" w:rsidR="009048C5" w:rsidRDefault="00671D8A" w:rsidP="00D2319D">
      <w:pPr>
        <w:ind w:left="360" w:hanging="360"/>
      </w:pPr>
      <w:r>
        <w:t>23.</w:t>
      </w:r>
      <w:r w:rsidR="004E40BE">
        <w:t xml:space="preserve"> Given the need to consider charging locations and cost-effective distribution/transmission upgrades concurrently when identifying optimal locations for MDHD chargers, what improvements to planning are needed to co-optimize distribution and transmission upgrades triggered by MDHD freight electrification?</w:t>
      </w:r>
    </w:p>
    <w:p w14:paraId="27419E90" w14:textId="77777777" w:rsidR="009048C5" w:rsidRDefault="002E7555" w:rsidP="00D2319D">
      <w:pPr>
        <w:ind w:left="360" w:hanging="360"/>
      </w:pPr>
      <w:r>
        <w:t xml:space="preserve">24. The CAISO's TPP policy-driven assessment identifies transmission upgrades needed to support public policy requirements by studying various portfolios of generation and storage resources. In these studies, the load assumptions remain static to comply with the single forecast set agreement between the CEC, CPUC, and CAISO. Does the CAISO’s policy-driven transmission assessment sufficiently capture the localized load impacts of transportation electrification? If not, what changes to the inputs or methodology used in the demand forecasting process would you propose? </w:t>
      </w:r>
    </w:p>
    <w:p w14:paraId="26A62D69" w14:textId="77777777" w:rsidR="00D26DAB" w:rsidRDefault="002E7555" w:rsidP="00D2319D">
      <w:pPr>
        <w:ind w:left="360" w:hanging="360"/>
      </w:pPr>
      <w:r>
        <w:t xml:space="preserve">25. Currently, there is no linkage between planned distribution/transmission infrastructure investments and the federal/state funding available for charging infrastructure. To what extent should charging </w:t>
      </w:r>
      <w:r>
        <w:lastRenderedPageBreak/>
        <w:t xml:space="preserve">infrastructure associated with optimal distribution/transmission upgrades be subsidized using federal/state funds set aside for charging infrastructure? What would be the process for sending this investment signal to charger providers while avoiding market power issues and charger site speculation? </w:t>
      </w:r>
    </w:p>
    <w:p w14:paraId="05FDFF53" w14:textId="50EA6589" w:rsidR="00B54745" w:rsidRDefault="00B54745" w:rsidP="00D2319D">
      <w:pPr>
        <w:ind w:left="360" w:hanging="360"/>
      </w:pPr>
      <w:r>
        <w:tab/>
      </w:r>
      <w:r w:rsidRPr="0033507B">
        <w:rPr>
          <w:b/>
          <w:bCs/>
        </w:rPr>
        <w:t>Metro response</w:t>
      </w:r>
      <w:r>
        <w:t xml:space="preserve">: </w:t>
      </w:r>
      <w:r w:rsidRPr="0033507B">
        <w:t xml:space="preserve">Before talking about any process, </w:t>
      </w:r>
      <w:r w:rsidR="00603B07">
        <w:t xml:space="preserve">Metro </w:t>
      </w:r>
      <w:r w:rsidRPr="0033507B">
        <w:t>suggest</w:t>
      </w:r>
      <w:r w:rsidR="00603B07">
        <w:t>s</w:t>
      </w:r>
      <w:r w:rsidRPr="0033507B">
        <w:t xml:space="preserve"> a peer exchange between regulators and utilities to understand the nuances of the gap. Then develop a route map on how to address those gaps.</w:t>
      </w:r>
    </w:p>
    <w:p w14:paraId="7B84BE17" w14:textId="3ED9051E" w:rsidR="002E7555" w:rsidRDefault="002E7555" w:rsidP="00D2319D">
      <w:pPr>
        <w:ind w:left="360" w:hanging="360"/>
      </w:pPr>
      <w:r>
        <w:t>26. Please provide any additional comments as needed. Please note the slide number if you are responding to a point made in a particular slide in this presentation.</w:t>
      </w:r>
    </w:p>
    <w:sectPr w:rsidR="002E7555" w:rsidSect="00D2319D">
      <w:headerReference w:type="default" r:id="rId11"/>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E90A" w14:textId="77777777" w:rsidR="008C73BA" w:rsidRDefault="008C73BA" w:rsidP="00670BA5">
      <w:pPr>
        <w:spacing w:after="0" w:line="240" w:lineRule="auto"/>
      </w:pPr>
      <w:r>
        <w:separator/>
      </w:r>
    </w:p>
  </w:endnote>
  <w:endnote w:type="continuationSeparator" w:id="0">
    <w:p w14:paraId="2B974E53" w14:textId="77777777" w:rsidR="008C73BA" w:rsidRDefault="008C73BA" w:rsidP="00670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3967" w14:textId="77777777" w:rsidR="008C73BA" w:rsidRDefault="008C73BA" w:rsidP="00670BA5">
      <w:pPr>
        <w:spacing w:after="0" w:line="240" w:lineRule="auto"/>
      </w:pPr>
      <w:r>
        <w:separator/>
      </w:r>
    </w:p>
  </w:footnote>
  <w:footnote w:type="continuationSeparator" w:id="0">
    <w:p w14:paraId="55D5699E" w14:textId="77777777" w:rsidR="008C73BA" w:rsidRDefault="008C73BA" w:rsidP="00670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79C5" w14:textId="619C849A" w:rsidR="00D2319D" w:rsidRDefault="00977E07">
    <w:pPr>
      <w:pStyle w:val="Header"/>
      <w:rPr>
        <w:rFonts w:asciiTheme="majorHAnsi" w:eastAsiaTheme="majorEastAsia" w:hAnsiTheme="majorHAnsi" w:cstheme="majorBidi"/>
        <w:color w:val="4472C4" w:themeColor="accent1"/>
        <w:sz w:val="24"/>
        <w:szCs w:val="24"/>
      </w:rPr>
    </w:pPr>
    <w:r>
      <w:rPr>
        <w:rFonts w:asciiTheme="majorHAnsi" w:eastAsiaTheme="majorEastAsia" w:hAnsiTheme="majorHAnsi" w:cstheme="majorBidi"/>
        <w:color w:val="4472C4" w:themeColor="accent1"/>
        <w:sz w:val="24"/>
        <w:szCs w:val="24"/>
      </w:rPr>
      <w:t>Comments on the California Public Utilities Commission</w:t>
    </w:r>
    <w:r w:rsidR="003D20AA">
      <w:rPr>
        <w:rFonts w:asciiTheme="majorHAnsi" w:eastAsiaTheme="majorEastAsia" w:hAnsiTheme="majorHAnsi" w:cstheme="majorBidi"/>
        <w:color w:val="4472C4" w:themeColor="accent1"/>
        <w:sz w:val="24"/>
        <w:szCs w:val="24"/>
      </w:rPr>
      <w:t xml:space="preserve">’s Draft Staff Proposal: Zero-Emission </w:t>
    </w:r>
    <w:r>
      <w:rPr>
        <w:rFonts w:asciiTheme="majorHAnsi" w:eastAsiaTheme="majorEastAsia" w:hAnsiTheme="majorHAnsi" w:cstheme="majorBidi"/>
        <w:color w:val="4472C4" w:themeColor="accent1"/>
        <w:sz w:val="24"/>
        <w:szCs w:val="24"/>
      </w:rPr>
      <w:t xml:space="preserve">Freight Infrastructure Planning </w:t>
    </w:r>
  </w:p>
  <w:p w14:paraId="13F85E1F" w14:textId="77777777" w:rsidR="00D2319D" w:rsidRDefault="00D2319D">
    <w:pPr>
      <w:pStyle w:val="Header"/>
      <w:rPr>
        <w:rFonts w:asciiTheme="majorHAnsi" w:eastAsiaTheme="majorEastAsia" w:hAnsiTheme="majorHAnsi" w:cstheme="majorBidi"/>
        <w:color w:val="4472C4" w:themeColor="accent1"/>
        <w:sz w:val="24"/>
        <w:szCs w:val="24"/>
      </w:rPr>
    </w:pPr>
    <w:r>
      <w:rPr>
        <w:rFonts w:asciiTheme="majorHAnsi" w:eastAsiaTheme="majorEastAsia" w:hAnsiTheme="majorHAnsi" w:cstheme="majorBidi"/>
        <w:color w:val="4472C4" w:themeColor="accent1"/>
        <w:sz w:val="24"/>
        <w:szCs w:val="24"/>
      </w:rPr>
      <w:t xml:space="preserve">Submitted by Los Angeles County Metropolitan Transportation Authority </w:t>
    </w:r>
  </w:p>
  <w:p w14:paraId="2CBFA01E" w14:textId="3A3F8FD2" w:rsidR="00977E07" w:rsidRDefault="00000000">
    <w:pPr>
      <w:pStyle w:val="Header"/>
      <w:rPr>
        <w:sz w:val="24"/>
        <w:szCs w:val="24"/>
      </w:rPr>
    </w:pPr>
    <w:sdt>
      <w:sdtPr>
        <w:rPr>
          <w:rFonts w:asciiTheme="majorHAnsi" w:eastAsiaTheme="majorEastAsia" w:hAnsiTheme="majorHAnsi" w:cstheme="majorBidi"/>
          <w:color w:val="4472C4" w:themeColor="accent1"/>
          <w:sz w:val="24"/>
          <w:szCs w:val="24"/>
        </w:rPr>
        <w:alias w:val="Date"/>
        <w:id w:val="78404859"/>
        <w:placeholder>
          <w:docPart w:val="E692BDA3D2D24DB6B5293500DC3B7785"/>
        </w:placeholder>
        <w:dataBinding w:prefixMappings="xmlns:ns0='http://schemas.microsoft.com/office/2006/coverPageProps'" w:xpath="/ns0:CoverPageProperties[1]/ns0:PublishDate[1]" w:storeItemID="{55AF091B-3C7A-41E3-B477-F2FDAA23CFDA}"/>
        <w:date w:fullDate="2023-07-21T00:00:00Z">
          <w:dateFormat w:val="MMMM d, yyyy"/>
          <w:lid w:val="en-US"/>
          <w:storeMappedDataAs w:val="dateTime"/>
          <w:calendar w:val="gregorian"/>
        </w:date>
      </w:sdtPr>
      <w:sdtContent>
        <w:r w:rsidR="00977E07">
          <w:rPr>
            <w:rFonts w:asciiTheme="majorHAnsi" w:eastAsiaTheme="majorEastAsia" w:hAnsiTheme="majorHAnsi" w:cstheme="majorBidi"/>
            <w:color w:val="4472C4" w:themeColor="accent1"/>
            <w:sz w:val="24"/>
            <w:szCs w:val="24"/>
          </w:rPr>
          <w:t>July 21, 2023</w:t>
        </w:r>
      </w:sdtContent>
    </w:sdt>
  </w:p>
  <w:p w14:paraId="49342447" w14:textId="7D818201" w:rsidR="007F1A36" w:rsidRDefault="007F1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24E97"/>
    <w:multiLevelType w:val="hybridMultilevel"/>
    <w:tmpl w:val="7BA61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DCD2285"/>
    <w:multiLevelType w:val="hybridMultilevel"/>
    <w:tmpl w:val="12C0A7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449270">
    <w:abstractNumId w:val="1"/>
  </w:num>
  <w:num w:numId="2" w16cid:durableId="148092373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AAEBFB"/>
    <w:rsid w:val="0000551B"/>
    <w:rsid w:val="00010BD7"/>
    <w:rsid w:val="00013844"/>
    <w:rsid w:val="00020D5C"/>
    <w:rsid w:val="00025B2C"/>
    <w:rsid w:val="000364D6"/>
    <w:rsid w:val="00055D29"/>
    <w:rsid w:val="00081A31"/>
    <w:rsid w:val="0009195B"/>
    <w:rsid w:val="00095358"/>
    <w:rsid w:val="000957C9"/>
    <w:rsid w:val="000A12AC"/>
    <w:rsid w:val="000C2170"/>
    <w:rsid w:val="000D0707"/>
    <w:rsid w:val="000E410B"/>
    <w:rsid w:val="000F0A95"/>
    <w:rsid w:val="000F1512"/>
    <w:rsid w:val="00103EFC"/>
    <w:rsid w:val="00112F71"/>
    <w:rsid w:val="00120C1D"/>
    <w:rsid w:val="001401C3"/>
    <w:rsid w:val="001456DD"/>
    <w:rsid w:val="001527F1"/>
    <w:rsid w:val="00157FA3"/>
    <w:rsid w:val="001748CC"/>
    <w:rsid w:val="001A0416"/>
    <w:rsid w:val="001A75C1"/>
    <w:rsid w:val="001B6197"/>
    <w:rsid w:val="001E74B2"/>
    <w:rsid w:val="001F2251"/>
    <w:rsid w:val="001F4D3A"/>
    <w:rsid w:val="001F5A1D"/>
    <w:rsid w:val="002153E7"/>
    <w:rsid w:val="002337FA"/>
    <w:rsid w:val="00240FC5"/>
    <w:rsid w:val="0025109C"/>
    <w:rsid w:val="00264A9D"/>
    <w:rsid w:val="00270DF3"/>
    <w:rsid w:val="00270E80"/>
    <w:rsid w:val="00297FC9"/>
    <w:rsid w:val="002A087E"/>
    <w:rsid w:val="002A14AA"/>
    <w:rsid w:val="002C50E5"/>
    <w:rsid w:val="002E7555"/>
    <w:rsid w:val="00301927"/>
    <w:rsid w:val="003039A2"/>
    <w:rsid w:val="0033507B"/>
    <w:rsid w:val="00346854"/>
    <w:rsid w:val="00351544"/>
    <w:rsid w:val="00361A67"/>
    <w:rsid w:val="003640DE"/>
    <w:rsid w:val="00365CD9"/>
    <w:rsid w:val="003700EB"/>
    <w:rsid w:val="003745E4"/>
    <w:rsid w:val="00376198"/>
    <w:rsid w:val="00380283"/>
    <w:rsid w:val="003810CA"/>
    <w:rsid w:val="00390BB9"/>
    <w:rsid w:val="003A1EC6"/>
    <w:rsid w:val="003A31ED"/>
    <w:rsid w:val="003A7EFE"/>
    <w:rsid w:val="003B47A9"/>
    <w:rsid w:val="003B7006"/>
    <w:rsid w:val="003D20AA"/>
    <w:rsid w:val="003E2E15"/>
    <w:rsid w:val="004235F5"/>
    <w:rsid w:val="00431D09"/>
    <w:rsid w:val="0043788B"/>
    <w:rsid w:val="004568DA"/>
    <w:rsid w:val="004625D0"/>
    <w:rsid w:val="004643E5"/>
    <w:rsid w:val="00464922"/>
    <w:rsid w:val="00467E14"/>
    <w:rsid w:val="00481243"/>
    <w:rsid w:val="00484CE9"/>
    <w:rsid w:val="00486761"/>
    <w:rsid w:val="004A2318"/>
    <w:rsid w:val="004A769C"/>
    <w:rsid w:val="004A7C02"/>
    <w:rsid w:val="004C30C6"/>
    <w:rsid w:val="004D02FB"/>
    <w:rsid w:val="004D49AF"/>
    <w:rsid w:val="004D72B7"/>
    <w:rsid w:val="004E40BE"/>
    <w:rsid w:val="004E5882"/>
    <w:rsid w:val="004F5C06"/>
    <w:rsid w:val="00502A61"/>
    <w:rsid w:val="00527B7F"/>
    <w:rsid w:val="005404C1"/>
    <w:rsid w:val="00552264"/>
    <w:rsid w:val="005652E6"/>
    <w:rsid w:val="005656B4"/>
    <w:rsid w:val="00570EB2"/>
    <w:rsid w:val="0057203D"/>
    <w:rsid w:val="00575A7D"/>
    <w:rsid w:val="00580204"/>
    <w:rsid w:val="005836C4"/>
    <w:rsid w:val="005926FE"/>
    <w:rsid w:val="005B443F"/>
    <w:rsid w:val="005B6697"/>
    <w:rsid w:val="005C4807"/>
    <w:rsid w:val="005D40E7"/>
    <w:rsid w:val="005D477E"/>
    <w:rsid w:val="005E5C78"/>
    <w:rsid w:val="005E7B5B"/>
    <w:rsid w:val="005F539B"/>
    <w:rsid w:val="005F6EAA"/>
    <w:rsid w:val="00603B07"/>
    <w:rsid w:val="0061097E"/>
    <w:rsid w:val="00614A8A"/>
    <w:rsid w:val="00620E5F"/>
    <w:rsid w:val="006220FA"/>
    <w:rsid w:val="006279A0"/>
    <w:rsid w:val="006305AC"/>
    <w:rsid w:val="006328B5"/>
    <w:rsid w:val="006340E8"/>
    <w:rsid w:val="00670BA5"/>
    <w:rsid w:val="00671D8A"/>
    <w:rsid w:val="0067777C"/>
    <w:rsid w:val="0067790D"/>
    <w:rsid w:val="00677D8C"/>
    <w:rsid w:val="0068189C"/>
    <w:rsid w:val="00696BFB"/>
    <w:rsid w:val="006A089B"/>
    <w:rsid w:val="006A76A6"/>
    <w:rsid w:val="006C71DA"/>
    <w:rsid w:val="006F7FDF"/>
    <w:rsid w:val="00701C83"/>
    <w:rsid w:val="00707CE4"/>
    <w:rsid w:val="00707CF9"/>
    <w:rsid w:val="00717170"/>
    <w:rsid w:val="00743E48"/>
    <w:rsid w:val="007551FF"/>
    <w:rsid w:val="00755A3D"/>
    <w:rsid w:val="00786B8F"/>
    <w:rsid w:val="007875C0"/>
    <w:rsid w:val="00791F40"/>
    <w:rsid w:val="007A206B"/>
    <w:rsid w:val="007A3019"/>
    <w:rsid w:val="007C3503"/>
    <w:rsid w:val="007C3B7B"/>
    <w:rsid w:val="007C76C1"/>
    <w:rsid w:val="007D16EF"/>
    <w:rsid w:val="007F02BE"/>
    <w:rsid w:val="007F1A36"/>
    <w:rsid w:val="008112A3"/>
    <w:rsid w:val="0083068D"/>
    <w:rsid w:val="00834977"/>
    <w:rsid w:val="00855062"/>
    <w:rsid w:val="00867B63"/>
    <w:rsid w:val="0087394A"/>
    <w:rsid w:val="0088060A"/>
    <w:rsid w:val="00895F14"/>
    <w:rsid w:val="008A3042"/>
    <w:rsid w:val="008B30E3"/>
    <w:rsid w:val="008C104F"/>
    <w:rsid w:val="008C73BA"/>
    <w:rsid w:val="008D32C9"/>
    <w:rsid w:val="008D3A7A"/>
    <w:rsid w:val="008E509A"/>
    <w:rsid w:val="008F7719"/>
    <w:rsid w:val="009048C5"/>
    <w:rsid w:val="00905434"/>
    <w:rsid w:val="0096157D"/>
    <w:rsid w:val="00962AD3"/>
    <w:rsid w:val="00977C50"/>
    <w:rsid w:val="00977E07"/>
    <w:rsid w:val="0098188D"/>
    <w:rsid w:val="009C265A"/>
    <w:rsid w:val="009D0FDF"/>
    <w:rsid w:val="009E29BB"/>
    <w:rsid w:val="00A05E7F"/>
    <w:rsid w:val="00A21371"/>
    <w:rsid w:val="00A23F7E"/>
    <w:rsid w:val="00A33162"/>
    <w:rsid w:val="00A3498D"/>
    <w:rsid w:val="00A428DE"/>
    <w:rsid w:val="00A453E8"/>
    <w:rsid w:val="00A63216"/>
    <w:rsid w:val="00A662D2"/>
    <w:rsid w:val="00A75985"/>
    <w:rsid w:val="00A77903"/>
    <w:rsid w:val="00A829EA"/>
    <w:rsid w:val="00A93594"/>
    <w:rsid w:val="00A95566"/>
    <w:rsid w:val="00A97090"/>
    <w:rsid w:val="00AD1ECD"/>
    <w:rsid w:val="00AD2020"/>
    <w:rsid w:val="00AD4BA4"/>
    <w:rsid w:val="00AD4CA9"/>
    <w:rsid w:val="00AE0611"/>
    <w:rsid w:val="00AF35BE"/>
    <w:rsid w:val="00AF37EA"/>
    <w:rsid w:val="00AF58A2"/>
    <w:rsid w:val="00AF6E5A"/>
    <w:rsid w:val="00B02D69"/>
    <w:rsid w:val="00B105AA"/>
    <w:rsid w:val="00B108BE"/>
    <w:rsid w:val="00B1578F"/>
    <w:rsid w:val="00B16B6D"/>
    <w:rsid w:val="00B22B0A"/>
    <w:rsid w:val="00B231E7"/>
    <w:rsid w:val="00B4440F"/>
    <w:rsid w:val="00B54059"/>
    <w:rsid w:val="00B54745"/>
    <w:rsid w:val="00B72079"/>
    <w:rsid w:val="00BB77C3"/>
    <w:rsid w:val="00BB7B4C"/>
    <w:rsid w:val="00BC177E"/>
    <w:rsid w:val="00BD42CD"/>
    <w:rsid w:val="00BD6FC5"/>
    <w:rsid w:val="00BE536E"/>
    <w:rsid w:val="00BE6B8E"/>
    <w:rsid w:val="00C22715"/>
    <w:rsid w:val="00C248BB"/>
    <w:rsid w:val="00C3148A"/>
    <w:rsid w:val="00C43448"/>
    <w:rsid w:val="00C56418"/>
    <w:rsid w:val="00C662FF"/>
    <w:rsid w:val="00CA5D94"/>
    <w:rsid w:val="00CB76B3"/>
    <w:rsid w:val="00CC565B"/>
    <w:rsid w:val="00CD0523"/>
    <w:rsid w:val="00CD22FE"/>
    <w:rsid w:val="00CF5A34"/>
    <w:rsid w:val="00D00B63"/>
    <w:rsid w:val="00D025C4"/>
    <w:rsid w:val="00D041DE"/>
    <w:rsid w:val="00D044C0"/>
    <w:rsid w:val="00D139F9"/>
    <w:rsid w:val="00D2319D"/>
    <w:rsid w:val="00D26DAB"/>
    <w:rsid w:val="00D31A09"/>
    <w:rsid w:val="00D3565B"/>
    <w:rsid w:val="00D3A5AF"/>
    <w:rsid w:val="00D4440B"/>
    <w:rsid w:val="00D57790"/>
    <w:rsid w:val="00D6339C"/>
    <w:rsid w:val="00D63917"/>
    <w:rsid w:val="00D81C47"/>
    <w:rsid w:val="00D81F12"/>
    <w:rsid w:val="00D82BA8"/>
    <w:rsid w:val="00D922F2"/>
    <w:rsid w:val="00DB0AF8"/>
    <w:rsid w:val="00DF4E1F"/>
    <w:rsid w:val="00E05ED2"/>
    <w:rsid w:val="00E31CB3"/>
    <w:rsid w:val="00E33DA0"/>
    <w:rsid w:val="00E526BB"/>
    <w:rsid w:val="00E53C4E"/>
    <w:rsid w:val="00E62185"/>
    <w:rsid w:val="00E94EBB"/>
    <w:rsid w:val="00EB2A61"/>
    <w:rsid w:val="00EE4F6C"/>
    <w:rsid w:val="00EF4E1D"/>
    <w:rsid w:val="00EF5945"/>
    <w:rsid w:val="00F063B5"/>
    <w:rsid w:val="00F14762"/>
    <w:rsid w:val="00F16078"/>
    <w:rsid w:val="00F1790E"/>
    <w:rsid w:val="00F37E6D"/>
    <w:rsid w:val="00FC77D0"/>
    <w:rsid w:val="00FD4D5B"/>
    <w:rsid w:val="00FE0114"/>
    <w:rsid w:val="00FF1334"/>
    <w:rsid w:val="00FF3E2C"/>
    <w:rsid w:val="01150C7E"/>
    <w:rsid w:val="013CACFA"/>
    <w:rsid w:val="0277C744"/>
    <w:rsid w:val="028530B0"/>
    <w:rsid w:val="02AAEBFB"/>
    <w:rsid w:val="077E96F0"/>
    <w:rsid w:val="091A6751"/>
    <w:rsid w:val="0986BF37"/>
    <w:rsid w:val="0DD4B017"/>
    <w:rsid w:val="10832D0D"/>
    <w:rsid w:val="110C50D9"/>
    <w:rsid w:val="12FC628F"/>
    <w:rsid w:val="142500A8"/>
    <w:rsid w:val="15DFC1FC"/>
    <w:rsid w:val="15F8EA59"/>
    <w:rsid w:val="1721C92F"/>
    <w:rsid w:val="182FD4DC"/>
    <w:rsid w:val="191762BE"/>
    <w:rsid w:val="199FF90E"/>
    <w:rsid w:val="1ABB4B61"/>
    <w:rsid w:val="1B6B4655"/>
    <w:rsid w:val="1C562EAB"/>
    <w:rsid w:val="1C7955E1"/>
    <w:rsid w:val="1D0716B6"/>
    <w:rsid w:val="1F1FF65B"/>
    <w:rsid w:val="1F86A442"/>
    <w:rsid w:val="203EB778"/>
    <w:rsid w:val="22711F7D"/>
    <w:rsid w:val="261A5404"/>
    <w:rsid w:val="27A4FE27"/>
    <w:rsid w:val="28AD4B9D"/>
    <w:rsid w:val="2AFB7850"/>
    <w:rsid w:val="2C4220AC"/>
    <w:rsid w:val="2C998AEB"/>
    <w:rsid w:val="2DD69477"/>
    <w:rsid w:val="330DA8F9"/>
    <w:rsid w:val="33E6F011"/>
    <w:rsid w:val="340344B9"/>
    <w:rsid w:val="3453B02E"/>
    <w:rsid w:val="363565C0"/>
    <w:rsid w:val="36EE91AC"/>
    <w:rsid w:val="36FBE3CB"/>
    <w:rsid w:val="37131EB6"/>
    <w:rsid w:val="38849977"/>
    <w:rsid w:val="3951C752"/>
    <w:rsid w:val="3A7EE6C5"/>
    <w:rsid w:val="3ABDD620"/>
    <w:rsid w:val="3B2E893C"/>
    <w:rsid w:val="3C0990E8"/>
    <w:rsid w:val="3C7F89F0"/>
    <w:rsid w:val="3C8DC30A"/>
    <w:rsid w:val="3FB9F1AF"/>
    <w:rsid w:val="408D866C"/>
    <w:rsid w:val="4351F7E6"/>
    <w:rsid w:val="43734B86"/>
    <w:rsid w:val="454FBCB8"/>
    <w:rsid w:val="46D8E881"/>
    <w:rsid w:val="4800449D"/>
    <w:rsid w:val="4A3C5638"/>
    <w:rsid w:val="4BD82699"/>
    <w:rsid w:val="4C9039CF"/>
    <w:rsid w:val="4CEFAE13"/>
    <w:rsid w:val="4E843B4E"/>
    <w:rsid w:val="5163AAF2"/>
    <w:rsid w:val="51863252"/>
    <w:rsid w:val="5247681D"/>
    <w:rsid w:val="527FA169"/>
    <w:rsid w:val="53E3387E"/>
    <w:rsid w:val="55F51BA9"/>
    <w:rsid w:val="5CC6F659"/>
    <w:rsid w:val="5D2D1757"/>
    <w:rsid w:val="615440D4"/>
    <w:rsid w:val="61832DBF"/>
    <w:rsid w:val="619C561C"/>
    <w:rsid w:val="61F0B5AE"/>
    <w:rsid w:val="62C37FB0"/>
    <w:rsid w:val="6417DFDD"/>
    <w:rsid w:val="64806F79"/>
    <w:rsid w:val="64D4317C"/>
    <w:rsid w:val="68DF3AB0"/>
    <w:rsid w:val="698E3FA4"/>
    <w:rsid w:val="69A76801"/>
    <w:rsid w:val="6B31FD8B"/>
    <w:rsid w:val="6CCDCDEC"/>
    <w:rsid w:val="6E699E4D"/>
    <w:rsid w:val="6F14ECF4"/>
    <w:rsid w:val="73E1BEB7"/>
    <w:rsid w:val="74FF7A35"/>
    <w:rsid w:val="77824774"/>
    <w:rsid w:val="798D6001"/>
    <w:rsid w:val="7A3B70A3"/>
    <w:rsid w:val="7A82FDB1"/>
    <w:rsid w:val="7EBCF3B9"/>
    <w:rsid w:val="7FDCE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96987"/>
  <w15:chartTrackingRefBased/>
  <w15:docId w15:val="{C203D8EF-3585-42EE-A526-145F5797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611"/>
    <w:pPr>
      <w:ind w:left="720"/>
      <w:contextualSpacing/>
    </w:pPr>
  </w:style>
  <w:style w:type="paragraph" w:styleId="NoSpacing">
    <w:name w:val="No Spacing"/>
    <w:uiPriority w:val="1"/>
    <w:qFormat/>
    <w:rsid w:val="00717170"/>
    <w:pPr>
      <w:spacing w:after="0" w:line="240" w:lineRule="auto"/>
    </w:pPr>
  </w:style>
  <w:style w:type="character" w:styleId="Mention">
    <w:name w:val="Mention"/>
    <w:basedOn w:val="DefaultParagraphFont"/>
    <w:uiPriority w:val="99"/>
    <w:unhideWhenUsed/>
    <w:rsid w:val="000C2170"/>
    <w:rPr>
      <w:color w:val="2B579A"/>
      <w:shd w:val="clear" w:color="auto" w:fill="E6E6E6"/>
    </w:rPr>
  </w:style>
  <w:style w:type="paragraph" w:styleId="CommentText">
    <w:name w:val="annotation text"/>
    <w:basedOn w:val="Normal"/>
    <w:link w:val="CommentTextChar"/>
    <w:uiPriority w:val="99"/>
    <w:semiHidden/>
    <w:unhideWhenUsed/>
    <w:rsid w:val="000C2170"/>
    <w:pPr>
      <w:spacing w:line="240" w:lineRule="auto"/>
    </w:pPr>
    <w:rPr>
      <w:sz w:val="20"/>
      <w:szCs w:val="20"/>
    </w:rPr>
  </w:style>
  <w:style w:type="character" w:customStyle="1" w:styleId="CommentTextChar">
    <w:name w:val="Comment Text Char"/>
    <w:basedOn w:val="DefaultParagraphFont"/>
    <w:link w:val="CommentText"/>
    <w:uiPriority w:val="99"/>
    <w:semiHidden/>
    <w:rsid w:val="000C2170"/>
    <w:rPr>
      <w:sz w:val="20"/>
      <w:szCs w:val="20"/>
    </w:rPr>
  </w:style>
  <w:style w:type="character" w:styleId="CommentReference">
    <w:name w:val="annotation reference"/>
    <w:basedOn w:val="DefaultParagraphFont"/>
    <w:uiPriority w:val="99"/>
    <w:semiHidden/>
    <w:unhideWhenUsed/>
    <w:rsid w:val="000C2170"/>
    <w:rPr>
      <w:sz w:val="16"/>
      <w:szCs w:val="16"/>
    </w:rPr>
  </w:style>
  <w:style w:type="paragraph" w:styleId="Revision">
    <w:name w:val="Revision"/>
    <w:hidden/>
    <w:uiPriority w:val="99"/>
    <w:semiHidden/>
    <w:rsid w:val="000C2170"/>
    <w:pPr>
      <w:spacing w:after="0" w:line="240" w:lineRule="auto"/>
    </w:pPr>
  </w:style>
  <w:style w:type="character" w:customStyle="1" w:styleId="cf01">
    <w:name w:val="cf01"/>
    <w:basedOn w:val="DefaultParagraphFont"/>
    <w:rsid w:val="00B54745"/>
    <w:rPr>
      <w:rFonts w:ascii="Segoe UI" w:hAnsi="Segoe UI" w:cs="Segoe UI" w:hint="default"/>
      <w:sz w:val="18"/>
      <w:szCs w:val="18"/>
    </w:rPr>
  </w:style>
  <w:style w:type="paragraph" w:customStyle="1" w:styleId="pf0">
    <w:name w:val="pf0"/>
    <w:basedOn w:val="Normal"/>
    <w:rsid w:val="000A12A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70B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A5"/>
  </w:style>
  <w:style w:type="paragraph" w:styleId="Footer">
    <w:name w:val="footer"/>
    <w:basedOn w:val="Normal"/>
    <w:link w:val="FooterChar"/>
    <w:uiPriority w:val="99"/>
    <w:unhideWhenUsed/>
    <w:rsid w:val="00670B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90857">
      <w:bodyDiv w:val="1"/>
      <w:marLeft w:val="0"/>
      <w:marRight w:val="0"/>
      <w:marTop w:val="0"/>
      <w:marBottom w:val="0"/>
      <w:divBdr>
        <w:top w:val="none" w:sz="0" w:space="0" w:color="auto"/>
        <w:left w:val="none" w:sz="0" w:space="0" w:color="auto"/>
        <w:bottom w:val="none" w:sz="0" w:space="0" w:color="auto"/>
        <w:right w:val="none" w:sz="0" w:space="0" w:color="auto"/>
      </w:divBdr>
    </w:div>
    <w:div w:id="648442668">
      <w:bodyDiv w:val="1"/>
      <w:marLeft w:val="0"/>
      <w:marRight w:val="0"/>
      <w:marTop w:val="0"/>
      <w:marBottom w:val="0"/>
      <w:divBdr>
        <w:top w:val="none" w:sz="0" w:space="0" w:color="auto"/>
        <w:left w:val="none" w:sz="0" w:space="0" w:color="auto"/>
        <w:bottom w:val="none" w:sz="0" w:space="0" w:color="auto"/>
        <w:right w:val="none" w:sz="0" w:space="0" w:color="auto"/>
      </w:divBdr>
    </w:div>
    <w:div w:id="89018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92BDA3D2D24DB6B5293500DC3B7785"/>
        <w:category>
          <w:name w:val="General"/>
          <w:gallery w:val="placeholder"/>
        </w:category>
        <w:types>
          <w:type w:val="bbPlcHdr"/>
        </w:types>
        <w:behaviors>
          <w:behavior w:val="content"/>
        </w:behaviors>
        <w:guid w:val="{764E1498-6A68-4938-9565-74FFCCAD9BD8}"/>
      </w:docPartPr>
      <w:docPartBody>
        <w:p w:rsidR="00BC30DD" w:rsidRDefault="004D4BBE" w:rsidP="004D4BBE">
          <w:pPr>
            <w:pStyle w:val="E692BDA3D2D24DB6B5293500DC3B7785"/>
          </w:pPr>
          <w:r>
            <w:rPr>
              <w:rFonts w:asciiTheme="majorHAnsi" w:eastAsiaTheme="majorEastAsia" w:hAnsiTheme="majorHAnsi" w:cstheme="majorBidi"/>
              <w:color w:val="4472C4" w:themeColor="accent1"/>
              <w:sz w:val="27"/>
              <w:szCs w:val="27"/>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BBE"/>
    <w:rsid w:val="004D4BBE"/>
    <w:rsid w:val="00A34FE2"/>
    <w:rsid w:val="00BC3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692BDA3D2D24DB6B5293500DC3B7785">
    <w:name w:val="E692BDA3D2D24DB6B5293500DC3B7785"/>
    <w:rsid w:val="004D4B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2023-07-21T00:00:00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9EA1C1F202B40AA7A5BF6CB2A61E3" ma:contentTypeVersion="13" ma:contentTypeDescription="Create a new document." ma:contentTypeScope="" ma:versionID="af495a68a95cc3d79e36574ceb8507c3">
  <xsd:schema xmlns:xsd="http://www.w3.org/2001/XMLSchema" xmlns:xs="http://www.w3.org/2001/XMLSchema" xmlns:p="http://schemas.microsoft.com/office/2006/metadata/properties" xmlns:ns2="520f37f0-40c3-47f1-8332-17031bb3f433" xmlns:ns3="f045a637-3cdd-4f4b-b16c-de55dd2e1607" targetNamespace="http://schemas.microsoft.com/office/2006/metadata/properties" ma:root="true" ma:fieldsID="14e8f3123eeb1caf8e5365efb6e06b98" ns2:_="" ns3:_="">
    <xsd:import namespace="520f37f0-40c3-47f1-8332-17031bb3f433"/>
    <xsd:import namespace="f045a637-3cdd-4f4b-b16c-de55dd2e16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f37f0-40c3-47f1-8332-17031bb3f4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45a637-3cdd-4f4b-b16c-de55dd2e160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f53a49c-f3ac-4549-a5a1-e4162537ce55}" ma:internalName="TaxCatchAll" ma:showField="CatchAllData" ma:web="f045a637-3cdd-4f4b-b16c-de55dd2e16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045a637-3cdd-4f4b-b16c-de55dd2e1607" xsi:nil="true"/>
    <lcf76f155ced4ddcb4097134ff3c332f xmlns="520f37f0-40c3-47f1-8332-17031bb3f4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DB8EC7-46D4-43E3-8344-F71596364E88}"/>
</file>

<file path=customXml/itemProps3.xml><?xml version="1.0" encoding="utf-8"?>
<ds:datastoreItem xmlns:ds="http://schemas.openxmlformats.org/officeDocument/2006/customXml" ds:itemID="{A5D12CD0-B80B-458F-9614-B6F01D7F5A15}">
  <ds:schemaRefs>
    <ds:schemaRef ds:uri="http://schemas.microsoft.com/sharepoint/v3/contenttype/forms"/>
  </ds:schemaRefs>
</ds:datastoreItem>
</file>

<file path=customXml/itemProps4.xml><?xml version="1.0" encoding="utf-8"?>
<ds:datastoreItem xmlns:ds="http://schemas.openxmlformats.org/officeDocument/2006/customXml" ds:itemID="{B5E7E591-1ABC-4528-ACA3-949835971E95}">
  <ds:schemaRefs>
    <ds:schemaRef ds:uri="http://schemas.microsoft.com/office/2006/metadata/properties"/>
    <ds:schemaRef ds:uri="http://schemas.microsoft.com/office/infopath/2007/PartnerControls"/>
    <ds:schemaRef ds:uri="a8005f93-e28d-41da-9fda-2abf1075172e"/>
    <ds:schemaRef ds:uri="05ce566c-fcd5-454f-9a87-02500a5880a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3516</Words>
  <Characters>20044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23513</CharactersWithSpaces>
  <SharedDoc>false</SharedDoc>
  <HLinks>
    <vt:vector size="6" baseType="variant">
      <vt:variant>
        <vt:i4>1966143</vt:i4>
      </vt:variant>
      <vt:variant>
        <vt:i4>0</vt:i4>
      </vt:variant>
      <vt:variant>
        <vt:i4>0</vt:i4>
      </vt:variant>
      <vt:variant>
        <vt:i4>5</vt:i4>
      </vt:variant>
      <vt:variant>
        <vt:lpwstr>mailto:LibanE@metro.net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Yamagami, Akiko</dc:creator>
  <cp:keywords/>
  <dc:description/>
  <cp:lastModifiedBy>Clayton, Emily</cp:lastModifiedBy>
  <cp:revision>2</cp:revision>
  <dcterms:created xsi:type="dcterms:W3CDTF">2023-07-21T23:24:00Z</dcterms:created>
  <dcterms:modified xsi:type="dcterms:W3CDTF">2023-07-21T23:24:00Z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0x0101006179EA1C1F202B40AA7A5BF6CB2A61E3</vt:lpwstr>
  </property>
  <property fmtid="{D5CDD505-2E9C-101B-9397-08002B2CF9AE}" pid="3" name="MediaServiceImageTags">
    <vt:lpwstr/>
  </property>
</Properties>
</file>